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93E7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740E40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5BBD702">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65.020.20</w:t>
            </w:r>
            <w:r>
              <w:rPr>
                <w:rFonts w:ascii="黑体" w:hAnsi="黑体" w:eastAsia="黑体"/>
                <w:sz w:val="21"/>
                <w:szCs w:val="21"/>
              </w:rPr>
              <w:fldChar w:fldCharType="end"/>
            </w:r>
            <w:bookmarkEnd w:id="0"/>
          </w:p>
        </w:tc>
      </w:tr>
      <w:tr w14:paraId="34F75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8E544B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40DF223">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B 05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24EF4F7">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BA48AA4">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38CC67E9">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1390C51">
      <w:pPr>
        <w:pStyle w:val="195"/>
        <w:framePr/>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14/T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1599</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583AEA37">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代替 DB14/T1599-2018</w:t>
      </w:r>
      <w:r>
        <w:rPr>
          <w:rFonts w:hAnsi="黑体"/>
        </w:rPr>
        <w:fldChar w:fldCharType="end"/>
      </w:r>
      <w:bookmarkEnd w:id="8"/>
    </w:p>
    <w:p w14:paraId="3E5975D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A7A84E9">
      <w:pPr>
        <w:pStyle w:val="50"/>
        <w:framePr w:w="9639" w:h="6976" w:hRule="exact" w:hSpace="0" w:vSpace="0" w:wrap="around" w:hAnchor="page" w:y="6408"/>
        <w:jc w:val="center"/>
        <w:rPr>
          <w:rFonts w:ascii="黑体" w:hAnsi="黑体" w:eastAsia="黑体"/>
          <w:b w:val="0"/>
          <w:bCs w:val="0"/>
          <w:w w:val="100"/>
        </w:rPr>
      </w:pPr>
    </w:p>
    <w:p w14:paraId="4462D4D6">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核桃林下套种绿豆技术规程</w:t>
      </w:r>
      <w:r>
        <w:fldChar w:fldCharType="end"/>
      </w:r>
      <w:bookmarkEnd w:id="9"/>
    </w:p>
    <w:p w14:paraId="18E68755">
      <w:pPr>
        <w:framePr w:w="9639" w:h="6974" w:hRule="exact" w:wrap="around" w:vAnchor="page" w:hAnchor="page" w:x="1419" w:y="6408" w:anchorLock="1"/>
        <w:ind w:left="-1418"/>
      </w:pPr>
    </w:p>
    <w:p w14:paraId="2090034E">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点击此处添加标准名称的英文译名</w:t>
      </w:r>
      <w:r>
        <w:rPr>
          <w:rFonts w:ascii="黑体" w:hAnsi="黑体" w:eastAsia="黑体"/>
          <w:szCs w:val="28"/>
        </w:rPr>
        <w:fldChar w:fldCharType="end"/>
      </w:r>
      <w:bookmarkEnd w:id="10"/>
    </w:p>
    <w:p w14:paraId="121DD5B6">
      <w:pPr>
        <w:framePr w:w="9639" w:h="6974" w:hRule="exact" w:wrap="around" w:vAnchor="page" w:hAnchor="page" w:x="1419" w:y="6408" w:anchorLock="1"/>
        <w:spacing w:line="760" w:lineRule="exact"/>
        <w:ind w:left="-1418"/>
      </w:pPr>
    </w:p>
    <w:p w14:paraId="6475B84F">
      <w:pPr>
        <w:pStyle w:val="125"/>
        <w:framePr w:w="9639" w:h="6974" w:hRule="exact" w:wrap="around" w:vAnchor="page" w:hAnchor="page" w:x="1419" w:y="6408" w:anchorLock="1"/>
        <w:textAlignment w:val="bottom"/>
        <w:rPr>
          <w:rFonts w:eastAsia="黑体"/>
          <w:szCs w:val="28"/>
        </w:rPr>
      </w:pPr>
    </w:p>
    <w:p w14:paraId="48990991">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4865C0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6BC0D44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42D4661">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FBBC406">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3E9F892A">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41CEB6D">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9B6A662">
      <w:pPr>
        <w:pStyle w:val="91"/>
        <w:spacing w:after="468"/>
      </w:pPr>
      <w:bookmarkStart w:id="21" w:name="BookMark1"/>
      <w:bookmarkStart w:id="22" w:name="_Toc164969689"/>
      <w:bookmarkStart w:id="23" w:name="_Toc156142992"/>
      <w:bookmarkStart w:id="24" w:name="_Toc164937265"/>
      <w:bookmarkStart w:id="25" w:name="_Toc164968228"/>
      <w:bookmarkStart w:id="26" w:name="_Toc164968415"/>
      <w:r>
        <w:rPr>
          <w:rFonts w:hint="eastAsia"/>
          <w:spacing w:val="320"/>
        </w:rPr>
        <w:t>目</w:t>
      </w:r>
      <w:r>
        <w:rPr>
          <w:rFonts w:hint="eastAsia"/>
        </w:rPr>
        <w:t>次</w:t>
      </w:r>
    </w:p>
    <w:p w14:paraId="7E69F8D7">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TOC \o "1-1" \h </w:instrText>
      </w:r>
      <w:r>
        <w:fldChar w:fldCharType="separate"/>
      </w:r>
      <w:r>
        <w:fldChar w:fldCharType="begin"/>
      </w:r>
      <w:r>
        <w:instrText xml:space="preserve"> HYPERLINK \l "_Toc165209707" </w:instrText>
      </w:r>
      <w:r>
        <w:fldChar w:fldCharType="separate"/>
      </w:r>
      <w:r>
        <w:rPr>
          <w:rStyle w:val="32"/>
        </w:rPr>
        <w:t>前言</w:t>
      </w:r>
      <w:r>
        <w:tab/>
      </w:r>
      <w:r>
        <w:fldChar w:fldCharType="begin"/>
      </w:r>
      <w:r>
        <w:instrText xml:space="preserve"> PAGEREF _Toc165209707 \h </w:instrText>
      </w:r>
      <w:r>
        <w:fldChar w:fldCharType="separate"/>
      </w:r>
      <w:r>
        <w:t>II</w:t>
      </w:r>
      <w:r>
        <w:fldChar w:fldCharType="end"/>
      </w:r>
      <w:r>
        <w:fldChar w:fldCharType="end"/>
      </w:r>
    </w:p>
    <w:p w14:paraId="0C908280">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"_Toc165209708" </w:instrText>
      </w:r>
      <w:r>
        <w:fldChar w:fldCharType="separate"/>
      </w:r>
      <w:r>
        <w:rPr>
          <w:rStyle w:val="32"/>
        </w:rPr>
        <w:t>1  范围</w:t>
      </w:r>
      <w:r>
        <w:tab/>
      </w:r>
      <w:r>
        <w:fldChar w:fldCharType="begin"/>
      </w:r>
      <w:r>
        <w:instrText xml:space="preserve"> PAGEREF _Toc165209708 \h </w:instrText>
      </w:r>
      <w:r>
        <w:fldChar w:fldCharType="separate"/>
      </w:r>
      <w:r>
        <w:t>1</w:t>
      </w:r>
      <w:r>
        <w:fldChar w:fldCharType="end"/>
      </w:r>
      <w:r>
        <w:fldChar w:fldCharType="end"/>
      </w:r>
    </w:p>
    <w:p w14:paraId="78159128">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"_Toc165209709" </w:instrText>
      </w:r>
      <w:r>
        <w:fldChar w:fldCharType="separate"/>
      </w:r>
      <w:r>
        <w:rPr>
          <w:rStyle w:val="32"/>
        </w:rPr>
        <w:t>2  规范性引用文件</w:t>
      </w:r>
      <w:r>
        <w:tab/>
      </w:r>
      <w:r>
        <w:fldChar w:fldCharType="begin"/>
      </w:r>
      <w:r>
        <w:instrText xml:space="preserve"> PAGEREF _Toc165209709 \h </w:instrText>
      </w:r>
      <w:r>
        <w:fldChar w:fldCharType="separate"/>
      </w:r>
      <w:r>
        <w:t>1</w:t>
      </w:r>
      <w:r>
        <w:fldChar w:fldCharType="end"/>
      </w:r>
      <w:r>
        <w:fldChar w:fldCharType="end"/>
      </w:r>
    </w:p>
    <w:p w14:paraId="119D752D">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"_Toc165209710" </w:instrText>
      </w:r>
      <w:r>
        <w:fldChar w:fldCharType="separate"/>
      </w:r>
      <w:r>
        <w:rPr>
          <w:rStyle w:val="32"/>
        </w:rPr>
        <w:t>3  术语和定义</w:t>
      </w:r>
      <w:r>
        <w:tab/>
      </w:r>
      <w:r>
        <w:fldChar w:fldCharType="begin"/>
      </w:r>
      <w:r>
        <w:instrText xml:space="preserve"> PAGEREF _Toc165209710 \h </w:instrText>
      </w:r>
      <w:r>
        <w:fldChar w:fldCharType="separate"/>
      </w:r>
      <w:r>
        <w:t>1</w:t>
      </w:r>
      <w:r>
        <w:fldChar w:fldCharType="end"/>
      </w:r>
      <w:r>
        <w:fldChar w:fldCharType="end"/>
      </w:r>
    </w:p>
    <w:p w14:paraId="78175DF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"_Toc165209711" </w:instrText>
      </w:r>
      <w:r>
        <w:fldChar w:fldCharType="separate"/>
      </w:r>
      <w:r>
        <w:rPr>
          <w:rStyle w:val="32"/>
        </w:rPr>
        <w:t>4  播前准备</w:t>
      </w:r>
      <w:r>
        <w:tab/>
      </w:r>
      <w:r>
        <w:fldChar w:fldCharType="begin"/>
      </w:r>
      <w:r>
        <w:instrText xml:space="preserve"> PAGEREF _Toc165209711 \h </w:instrText>
      </w:r>
      <w:r>
        <w:fldChar w:fldCharType="separate"/>
      </w:r>
      <w:r>
        <w:t>1</w:t>
      </w:r>
      <w:r>
        <w:fldChar w:fldCharType="end"/>
      </w:r>
      <w:r>
        <w:fldChar w:fldCharType="end"/>
      </w:r>
    </w:p>
    <w:p w14:paraId="56AEF357">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"_Toc165209712" </w:instrText>
      </w:r>
      <w:r>
        <w:fldChar w:fldCharType="separate"/>
      </w:r>
      <w:r>
        <w:rPr>
          <w:rStyle w:val="32"/>
        </w:rPr>
        <w:t>5  套种</w:t>
      </w:r>
      <w:r>
        <w:tab/>
      </w:r>
      <w:r>
        <w:fldChar w:fldCharType="begin"/>
      </w:r>
      <w:r>
        <w:instrText xml:space="preserve"> PAGEREF _Toc165209712 \h </w:instrText>
      </w:r>
      <w:r>
        <w:fldChar w:fldCharType="separate"/>
      </w:r>
      <w:r>
        <w:t>2</w:t>
      </w:r>
      <w:r>
        <w:fldChar w:fldCharType="end"/>
      </w:r>
      <w:r>
        <w:fldChar w:fldCharType="end"/>
      </w:r>
    </w:p>
    <w:p w14:paraId="68CE60CA">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"_Toc165209713" </w:instrText>
      </w:r>
      <w:r>
        <w:fldChar w:fldCharType="separate"/>
      </w:r>
      <w:r>
        <w:rPr>
          <w:rStyle w:val="32"/>
        </w:rPr>
        <w:t>6  田间管理</w:t>
      </w:r>
      <w:r>
        <w:tab/>
      </w:r>
      <w:r>
        <w:fldChar w:fldCharType="begin"/>
      </w:r>
      <w:r>
        <w:instrText xml:space="preserve"> PAGEREF _Toc165209713 \h </w:instrText>
      </w:r>
      <w:r>
        <w:fldChar w:fldCharType="separate"/>
      </w:r>
      <w:r>
        <w:t>2</w:t>
      </w:r>
      <w:r>
        <w:fldChar w:fldCharType="end"/>
      </w:r>
      <w:r>
        <w:fldChar w:fldCharType="end"/>
      </w:r>
    </w:p>
    <w:p w14:paraId="08BAAB55">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"_Toc165209714" </w:instrText>
      </w:r>
      <w:r>
        <w:fldChar w:fldCharType="separate"/>
      </w:r>
      <w:r>
        <w:rPr>
          <w:rStyle w:val="32"/>
        </w:rPr>
        <w:t>7  病虫害防治</w:t>
      </w:r>
      <w:r>
        <w:tab/>
      </w:r>
      <w:r>
        <w:fldChar w:fldCharType="begin"/>
      </w:r>
      <w:r>
        <w:instrText xml:space="preserve"> PAGEREF _Toc165209714 \h </w:instrText>
      </w:r>
      <w:r>
        <w:fldChar w:fldCharType="separate"/>
      </w:r>
      <w:r>
        <w:t>3</w:t>
      </w:r>
      <w:r>
        <w:fldChar w:fldCharType="end"/>
      </w:r>
      <w:r>
        <w:fldChar w:fldCharType="end"/>
      </w:r>
    </w:p>
    <w:p w14:paraId="744BB9A8">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"_Toc165209715" </w:instrText>
      </w:r>
      <w:r>
        <w:fldChar w:fldCharType="separate"/>
      </w:r>
      <w:r>
        <w:rPr>
          <w:rStyle w:val="32"/>
        </w:rPr>
        <w:t>8  收获</w:t>
      </w:r>
      <w:r>
        <w:tab/>
      </w:r>
      <w:r>
        <w:fldChar w:fldCharType="begin"/>
      </w:r>
      <w:r>
        <w:instrText xml:space="preserve"> PAGEREF _Toc165209715 \h </w:instrText>
      </w:r>
      <w:r>
        <w:fldChar w:fldCharType="separate"/>
      </w:r>
      <w:r>
        <w:t>4</w:t>
      </w:r>
      <w:r>
        <w:fldChar w:fldCharType="end"/>
      </w:r>
      <w:r>
        <w:fldChar w:fldCharType="end"/>
      </w:r>
    </w:p>
    <w:p w14:paraId="5B5F3096">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"_Toc165209716" </w:instrText>
      </w:r>
      <w:r>
        <w:fldChar w:fldCharType="separate"/>
      </w:r>
      <w:r>
        <w:rPr>
          <w:rStyle w:val="32"/>
        </w:rPr>
        <w:t>9  生产档案</w:t>
      </w:r>
      <w:r>
        <w:tab/>
      </w:r>
      <w:r>
        <w:fldChar w:fldCharType="begin"/>
      </w:r>
      <w:r>
        <w:instrText xml:space="preserve"> PAGEREF _Toc165209716 \h </w:instrText>
      </w:r>
      <w:r>
        <w:fldChar w:fldCharType="separate"/>
      </w:r>
      <w:r>
        <w:t>4</w:t>
      </w:r>
      <w:r>
        <w:fldChar w:fldCharType="end"/>
      </w:r>
      <w:r>
        <w:fldChar w:fldCharType="end"/>
      </w:r>
    </w:p>
    <w:p w14:paraId="79383CEF">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"_Toc165209717" </w:instrText>
      </w:r>
      <w:r>
        <w:fldChar w:fldCharType="separate"/>
      </w:r>
      <w:r>
        <w:rPr>
          <w:rStyle w:val="32"/>
        </w:rPr>
        <w:t>附录A（资料性）  核桃林下套种绿豆主要病、虫害防控常用农药列表</w:t>
      </w:r>
      <w:r>
        <w:tab/>
      </w:r>
      <w:r>
        <w:fldChar w:fldCharType="begin"/>
      </w:r>
      <w:r>
        <w:instrText xml:space="preserve"> PAGEREF _Toc165209717 \h </w:instrText>
      </w:r>
      <w:r>
        <w:fldChar w:fldCharType="separate"/>
      </w:r>
      <w:r>
        <w:t>5</w:t>
      </w:r>
      <w:r>
        <w:fldChar w:fldCharType="end"/>
      </w:r>
      <w:r>
        <w:fldChar w:fldCharType="end"/>
      </w:r>
    </w:p>
    <w:p w14:paraId="3413B059">
      <w:pPr>
        <w:pStyle w:val="19"/>
        <w:tabs>
          <w:tab w:val="right" w:leader="dot" w:pos="9344"/>
        </w:tabs>
        <w:rPr>
          <w:rFonts w:asciiTheme="minorHAnsi" w:hAnsiTheme="minorHAnsi" w:eastAsiaTheme="minorEastAsia" w:cstheme="minorBidi"/>
          <w:szCs w:val="22"/>
          <w14:ligatures w14:val="standardContextual"/>
        </w:rPr>
      </w:pPr>
      <w:r>
        <w:fldChar w:fldCharType="begin"/>
      </w:r>
      <w:r>
        <w:instrText xml:space="preserve"> HYPERLINK \l "_Toc165209718" </w:instrText>
      </w:r>
      <w:r>
        <w:fldChar w:fldCharType="separate"/>
      </w:r>
      <w:r>
        <w:rPr>
          <w:rStyle w:val="32"/>
        </w:rPr>
        <w:t>附录B（资料性）  核桃林下套种绿豆生产档案表</w:t>
      </w:r>
      <w:r>
        <w:tab/>
      </w:r>
      <w:r>
        <w:fldChar w:fldCharType="begin"/>
      </w:r>
      <w:r>
        <w:instrText xml:space="preserve"> PAGEREF _Toc165209718 \h </w:instrText>
      </w:r>
      <w:r>
        <w:fldChar w:fldCharType="separate"/>
      </w:r>
      <w:r>
        <w:t>6</w:t>
      </w:r>
      <w:r>
        <w:fldChar w:fldCharType="end"/>
      </w:r>
      <w:r>
        <w:fldChar w:fldCharType="end"/>
      </w:r>
    </w:p>
    <w:p w14:paraId="6B5D5ABD">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108DF5AA">
      <w:pPr>
        <w:pStyle w:val="89"/>
        <w:spacing w:before="900" w:after="468"/>
      </w:pPr>
      <w:bookmarkStart w:id="27" w:name="_Toc165209707"/>
      <w:bookmarkStart w:id="28" w:name="BookMark2"/>
      <w:r>
        <w:rPr>
          <w:spacing w:val="320"/>
        </w:rPr>
        <w:t>前</w:t>
      </w:r>
      <w:r>
        <w:t>言</w:t>
      </w:r>
      <w:bookmarkEnd w:id="22"/>
      <w:bookmarkEnd w:id="23"/>
      <w:bookmarkEnd w:id="24"/>
      <w:bookmarkEnd w:id="25"/>
      <w:bookmarkEnd w:id="26"/>
      <w:bookmarkEnd w:id="27"/>
    </w:p>
    <w:p w14:paraId="42243834">
      <w:pPr>
        <w:pStyle w:val="56"/>
        <w:ind w:firstLine="420"/>
      </w:pPr>
      <w:r>
        <w:rPr>
          <w:rFonts w:hint="eastAsia"/>
        </w:rPr>
        <w:t>本文件按照GB/T 1.1—2020《标准化工作导则  第1部分：标准化文件的结构和起草规则》的规定起草。</w:t>
      </w:r>
    </w:p>
    <w:p w14:paraId="5AC9340A">
      <w:pPr>
        <w:pStyle w:val="56"/>
        <w:ind w:firstLine="420"/>
        <w:rPr>
          <w:szCs w:val="21"/>
        </w:rPr>
      </w:pPr>
      <w:r>
        <w:rPr>
          <w:rFonts w:hint="eastAsia" w:hAnsi="宋体"/>
        </w:rPr>
        <w:t>本文件代替DB 14/T1599—2018《核桃林下套种绿豆技术规程》，与DB 14/T1599—2018相比，除结构调整和编辑性改动外，主要技术变化如下:</w:t>
      </w:r>
    </w:p>
    <w:p w14:paraId="2550A402">
      <w:pPr>
        <w:pStyle w:val="56"/>
        <w:ind w:firstLine="420"/>
      </w:pPr>
      <w:r>
        <w:rPr>
          <w:rFonts w:hint="eastAsia" w:hAnsi="宋体"/>
        </w:rPr>
        <w:t>——更改了“品种选择”（见4.5）；</w:t>
      </w:r>
    </w:p>
    <w:p w14:paraId="4FB4DE54">
      <w:pPr>
        <w:pStyle w:val="56"/>
        <w:ind w:firstLine="420"/>
      </w:pPr>
      <w:r>
        <w:rPr>
          <w:rFonts w:hint="eastAsia" w:hAnsi="宋体"/>
        </w:rPr>
        <w:t>——更改了“种植方式”（见5.1）；</w:t>
      </w:r>
    </w:p>
    <w:p w14:paraId="7E92A482">
      <w:pPr>
        <w:pStyle w:val="56"/>
        <w:ind w:firstLine="420"/>
      </w:pPr>
      <w:r>
        <w:rPr>
          <w:rFonts w:hint="eastAsia" w:hAnsi="宋体"/>
        </w:rPr>
        <w:t>——更改了“播种密度”（见5.3）；</w:t>
      </w:r>
    </w:p>
    <w:p w14:paraId="167E9F0D">
      <w:pPr>
        <w:pStyle w:val="56"/>
        <w:ind w:firstLine="420"/>
      </w:pPr>
      <w:r>
        <w:rPr>
          <w:rFonts w:hint="eastAsia" w:hAnsi="宋体"/>
        </w:rPr>
        <w:t>——更改了“中耕除草”（见6.2）；</w:t>
      </w:r>
    </w:p>
    <w:p w14:paraId="7194E4BF">
      <w:pPr>
        <w:pStyle w:val="56"/>
        <w:ind w:firstLine="420"/>
        <w:rPr>
          <w:rFonts w:hAnsi="宋体"/>
        </w:rPr>
      </w:pPr>
      <w:r>
        <w:rPr>
          <w:rFonts w:hint="eastAsia" w:hAnsi="宋体"/>
        </w:rPr>
        <w:t>——更改了“收获”（见8）；</w:t>
      </w:r>
    </w:p>
    <w:p w14:paraId="4CC17732">
      <w:pPr>
        <w:pStyle w:val="56"/>
        <w:ind w:firstLine="420"/>
      </w:pPr>
      <w:r>
        <w:rPr>
          <w:rFonts w:hint="eastAsia" w:hAnsi="宋体"/>
        </w:rPr>
        <w:t>——增加了“生产档案”一章（见9）；</w:t>
      </w:r>
    </w:p>
    <w:p w14:paraId="229DF2CA">
      <w:pPr>
        <w:pStyle w:val="56"/>
        <w:ind w:firstLine="420"/>
        <w:rPr>
          <w:rFonts w:hint="eastAsia" w:hAnsi="宋体"/>
          <w:lang w:eastAsia="zh-CN"/>
        </w:rPr>
      </w:pPr>
      <w:r>
        <w:rPr>
          <w:rFonts w:hint="eastAsia" w:hAnsi="宋体"/>
        </w:rPr>
        <w:t>——删除了“规范性引用文件”中“NY/T5332无公害食品大田作物产地环境条件”和“DB14/T532无公害绿豆生产技术规程”</w:t>
      </w:r>
      <w:r>
        <w:rPr>
          <w:rFonts w:hint="eastAsia" w:hAnsi="宋体"/>
          <w:lang w:eastAsia="zh-CN"/>
        </w:rPr>
        <w:t>（</w:t>
      </w:r>
      <w:r>
        <w:rPr>
          <w:rFonts w:hint="eastAsia" w:hAnsi="宋体"/>
          <w:lang w:val="en-US" w:eastAsia="zh-CN"/>
        </w:rPr>
        <w:t>见2018版2</w:t>
      </w:r>
      <w:r>
        <w:rPr>
          <w:rFonts w:hint="eastAsia" w:hAnsi="宋体"/>
          <w:lang w:eastAsia="zh-CN"/>
        </w:rPr>
        <w:t>）；</w:t>
      </w:r>
    </w:p>
    <w:p w14:paraId="26CD8C0F">
      <w:pPr>
        <w:pStyle w:val="56"/>
        <w:ind w:firstLine="420"/>
      </w:pPr>
      <w:r>
        <w:rPr>
          <w:rFonts w:hint="eastAsia" w:hAnsi="宋体"/>
        </w:rPr>
        <w:t>——增加了“NY/T 1276 农药安全使用规范 总则”，修正了“NY/T 496 肥料合理使用准则 通则”（见2）。</w:t>
      </w:r>
    </w:p>
    <w:p w14:paraId="485463CB">
      <w:pPr>
        <w:pStyle w:val="56"/>
        <w:ind w:firstLine="420"/>
      </w:pPr>
      <w:r>
        <w:rPr>
          <w:rFonts w:hint="eastAsia" w:hAnsi="宋体"/>
        </w:rPr>
        <w:t>本文件由山西省农业农村厅提出、组织实施和监督检查。</w:t>
      </w:r>
    </w:p>
    <w:p w14:paraId="7A0D324E">
      <w:pPr>
        <w:pStyle w:val="56"/>
        <w:ind w:firstLine="420"/>
      </w:pPr>
      <w:r>
        <w:rPr>
          <w:rFonts w:hint="eastAsia" w:hAnsi="宋体"/>
        </w:rPr>
        <w:t>本文件由山西省市场监督管理局对标准的组织实施情况进行监督检查。</w:t>
      </w:r>
    </w:p>
    <w:p w14:paraId="3EDEA725">
      <w:pPr>
        <w:pStyle w:val="56"/>
        <w:ind w:firstLine="420"/>
      </w:pPr>
      <w:r>
        <w:rPr>
          <w:rFonts w:hint="eastAsia" w:hAnsi="宋体"/>
        </w:rPr>
        <w:t>本文件由山西省农业标准化技术委员会（SXS/TC19)归口。</w:t>
      </w:r>
    </w:p>
    <w:p w14:paraId="78663891">
      <w:pPr>
        <w:pStyle w:val="56"/>
        <w:ind w:firstLine="420"/>
      </w:pPr>
      <w:r>
        <w:rPr>
          <w:rFonts w:hint="eastAsia" w:hAnsi="宋体"/>
        </w:rPr>
        <w:t>本文件起草单位：山西农业大学经济作物研究所、山西农业大学。</w:t>
      </w:r>
    </w:p>
    <w:p w14:paraId="5A54476F">
      <w:pPr>
        <w:pStyle w:val="56"/>
        <w:ind w:firstLine="420"/>
      </w:pPr>
      <w:r>
        <w:rPr>
          <w:rFonts w:hint="eastAsia" w:hAnsi="宋体"/>
        </w:rPr>
        <w:t>本文件主要起草人：王彩萍、侯小峰、王宏伟、张耀文、李建、赵雪英、成玉红、凌旭炜。</w:t>
      </w:r>
    </w:p>
    <w:p w14:paraId="1C116DBD">
      <w:pPr>
        <w:pStyle w:val="56"/>
        <w:ind w:firstLine="420"/>
      </w:pPr>
      <w:r>
        <w:rPr>
          <w:rFonts w:hint="eastAsia" w:hAnsi="宋体"/>
        </w:rPr>
        <w:t>本文件及其所代替文件的历次版本发布情况为：</w:t>
      </w:r>
    </w:p>
    <w:p w14:paraId="39A8F6E7">
      <w:pPr>
        <w:pStyle w:val="56"/>
        <w:ind w:firstLine="420"/>
      </w:pPr>
      <w:r>
        <w:rPr>
          <w:rFonts w:hint="eastAsia" w:hAnsi="宋体"/>
        </w:rPr>
        <w:t>——2018年首次发布为DB14/T 1599—2018；</w:t>
      </w:r>
    </w:p>
    <w:p w14:paraId="4E8EAE16">
      <w:pPr>
        <w:pStyle w:val="56"/>
        <w:ind w:firstLine="420"/>
      </w:pPr>
      <w:r>
        <w:rPr>
          <w:rFonts w:hint="eastAsia" w:hAnsi="宋体"/>
        </w:rPr>
        <w:t>——本次为第一次修订。</w:t>
      </w:r>
    </w:p>
    <w:p w14:paraId="45CD227A">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8"/>
    <w:p w14:paraId="1FCC7502">
      <w:pPr>
        <w:spacing w:line="20" w:lineRule="exact"/>
        <w:jc w:val="center"/>
        <w:rPr>
          <w:rFonts w:ascii="黑体" w:hAnsi="黑体" w:eastAsia="黑体"/>
          <w:sz w:val="32"/>
          <w:szCs w:val="32"/>
        </w:rPr>
      </w:pPr>
      <w:bookmarkStart w:id="29" w:name="BookMark4"/>
    </w:p>
    <w:p w14:paraId="0AC834E9">
      <w:pPr>
        <w:spacing w:line="20" w:lineRule="exact"/>
        <w:jc w:val="center"/>
        <w:rPr>
          <w:rFonts w:ascii="黑体" w:hAnsi="黑体" w:eastAsia="黑体"/>
          <w:sz w:val="32"/>
          <w:szCs w:val="32"/>
        </w:rPr>
      </w:pPr>
    </w:p>
    <w:sdt>
      <w:sdtPr>
        <w:tag w:val="NEW_STAND_NAME"/>
        <w:id w:val="595910757"/>
        <w:lock w:val="sdtLocked"/>
        <w:placeholder>
          <w:docPart w:val="FC3445E8239542B6AB14C94CA8B28B16"/>
        </w:placeholder>
      </w:sdtPr>
      <w:sdtContent>
        <w:p w14:paraId="2966BDF8">
          <w:pPr>
            <w:pStyle w:val="177"/>
            <w:spacing w:before="312" w:beforeLines="100" w:after="686" w:afterLines="220"/>
          </w:pPr>
          <w:bookmarkStart w:id="30" w:name="NEW_STAND_NAME"/>
          <w:r>
            <w:rPr>
              <w:rFonts w:hint="eastAsia"/>
            </w:rPr>
            <w:t>核桃林下套种绿豆技术规程</w:t>
          </w:r>
        </w:p>
      </w:sdtContent>
    </w:sdt>
    <w:bookmarkEnd w:id="30"/>
    <w:p w14:paraId="4DC2EE9D">
      <w:pPr>
        <w:pStyle w:val="104"/>
        <w:spacing w:before="312" w:after="312"/>
      </w:pPr>
      <w:bookmarkStart w:id="31" w:name="_Toc24884218"/>
      <w:bookmarkStart w:id="32" w:name="_Toc26718930"/>
      <w:bookmarkStart w:id="33" w:name="_Toc24884211"/>
      <w:bookmarkStart w:id="34" w:name="_Toc156142993"/>
      <w:bookmarkStart w:id="35" w:name="_Toc17233325"/>
      <w:bookmarkStart w:id="36" w:name="_Toc165209708"/>
      <w:bookmarkStart w:id="37" w:name="_Toc26986771"/>
      <w:bookmarkStart w:id="38" w:name="_Toc164969690"/>
      <w:bookmarkStart w:id="39" w:name="_Toc17233333"/>
      <w:bookmarkStart w:id="40" w:name="_Toc26986530"/>
      <w:bookmarkStart w:id="41" w:name="_Toc164937266"/>
      <w:bookmarkStart w:id="42" w:name="_Toc97191423"/>
      <w:bookmarkStart w:id="43" w:name="_Toc164968229"/>
      <w:bookmarkStart w:id="44" w:name="_Toc164968416"/>
      <w:bookmarkStart w:id="45" w:name="_Toc26648465"/>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76A7EF6">
      <w:pPr>
        <w:pStyle w:val="56"/>
        <w:ind w:firstLine="420"/>
      </w:pPr>
      <w:bookmarkStart w:id="46" w:name="_Toc24884219"/>
      <w:bookmarkStart w:id="47" w:name="_Toc17233334"/>
      <w:bookmarkStart w:id="48" w:name="_Toc17233326"/>
      <w:bookmarkStart w:id="49" w:name="_Toc26648466"/>
      <w:bookmarkStart w:id="50" w:name="_Toc24884212"/>
      <w:r>
        <w:rPr>
          <w:rFonts w:hint="eastAsia"/>
        </w:rPr>
        <w:t>本标准规定了核桃林下套种绿豆的播前准备、套种、田间管理、病虫害防治、收获及田间档案。</w:t>
      </w:r>
    </w:p>
    <w:p w14:paraId="348F03D5">
      <w:pPr>
        <w:pStyle w:val="56"/>
        <w:ind w:firstLine="420"/>
      </w:pPr>
      <w:r>
        <w:rPr>
          <w:rFonts w:hint="eastAsia"/>
        </w:rPr>
        <w:t>本标准适用于核桃幼林或行距较宽透光率大于30%的盛果林套种绿豆。</w:t>
      </w:r>
    </w:p>
    <w:p w14:paraId="182127D4">
      <w:pPr>
        <w:pStyle w:val="104"/>
        <w:spacing w:before="312" w:after="312"/>
      </w:pPr>
      <w:bookmarkStart w:id="51" w:name="_Toc26986772"/>
      <w:bookmarkStart w:id="52" w:name="_Toc165209709"/>
      <w:bookmarkStart w:id="53" w:name="_Toc164968230"/>
      <w:bookmarkStart w:id="54" w:name="_Toc164969691"/>
      <w:bookmarkStart w:id="55" w:name="_Toc26986531"/>
      <w:bookmarkStart w:id="56" w:name="_Toc164937267"/>
      <w:bookmarkStart w:id="57" w:name="_Toc156142994"/>
      <w:bookmarkStart w:id="58" w:name="_Toc164968417"/>
      <w:bookmarkStart w:id="59" w:name="_Toc97191424"/>
      <w:bookmarkStart w:id="60" w:name="_Toc26718931"/>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C133B371D3214542A05BD14CAB0D43B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1A2B80B">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D003E90">
      <w:pPr>
        <w:pStyle w:val="56"/>
        <w:ind w:firstLine="420"/>
      </w:pPr>
      <w:r>
        <w:rPr>
          <w:rFonts w:hint="eastAsia"/>
        </w:rPr>
        <w:t>GB/T 8321 （所有部分）农药合理使用准则</w:t>
      </w:r>
    </w:p>
    <w:p w14:paraId="075C63A1">
      <w:pPr>
        <w:pStyle w:val="56"/>
        <w:ind w:firstLine="420"/>
      </w:pPr>
      <w:r>
        <w:rPr>
          <w:rFonts w:hint="eastAsia"/>
        </w:rPr>
        <w:t>GB/T 10462 绿豆</w:t>
      </w:r>
    </w:p>
    <w:p w14:paraId="6377CA2E">
      <w:pPr>
        <w:pStyle w:val="56"/>
        <w:ind w:firstLine="420"/>
      </w:pPr>
      <w:r>
        <w:rPr>
          <w:rFonts w:hint="eastAsia"/>
        </w:rPr>
        <w:t>NY/T 496 肥料合理使用准则 通则</w:t>
      </w:r>
    </w:p>
    <w:p w14:paraId="1249AA29">
      <w:pPr>
        <w:pStyle w:val="56"/>
        <w:ind w:firstLine="420"/>
      </w:pPr>
      <w:r>
        <w:rPr>
          <w:rFonts w:hint="eastAsia"/>
        </w:rPr>
        <w:t>NY/T 1276 农药安全使用规范 总则</w:t>
      </w:r>
    </w:p>
    <w:p w14:paraId="56323CF8">
      <w:pPr>
        <w:pStyle w:val="56"/>
        <w:ind w:firstLine="420"/>
      </w:pPr>
      <w:r>
        <w:rPr>
          <w:rFonts w:hint="eastAsia"/>
        </w:rPr>
        <w:t>NY/T 5204 无公害食品绿豆生产技术规程</w:t>
      </w:r>
    </w:p>
    <w:p w14:paraId="0C45D8EF">
      <w:pPr>
        <w:pStyle w:val="56"/>
        <w:ind w:firstLine="420"/>
      </w:pPr>
      <w:r>
        <w:rPr>
          <w:rFonts w:hint="eastAsia"/>
        </w:rPr>
        <w:t>NY/T 5295 无公害农产品产地环境评价准则</w:t>
      </w:r>
    </w:p>
    <w:p w14:paraId="0159F01F">
      <w:pPr>
        <w:pStyle w:val="104"/>
        <w:spacing w:before="312" w:after="312"/>
      </w:pPr>
      <w:bookmarkStart w:id="61" w:name="_Toc97191425"/>
      <w:bookmarkStart w:id="62" w:name="_Toc165209710"/>
      <w:bookmarkStart w:id="63" w:name="_Toc164937268"/>
      <w:bookmarkStart w:id="64" w:name="_Toc164968418"/>
      <w:bookmarkStart w:id="65" w:name="_Toc156142995"/>
      <w:bookmarkStart w:id="66" w:name="_Toc164968231"/>
      <w:bookmarkStart w:id="67" w:name="_Toc164969692"/>
      <w:r>
        <w:rPr>
          <w:rFonts w:hint="eastAsia"/>
          <w:szCs w:val="21"/>
        </w:rPr>
        <w:t>术语和定义</w:t>
      </w:r>
      <w:bookmarkEnd w:id="61"/>
      <w:bookmarkEnd w:id="62"/>
      <w:bookmarkEnd w:id="63"/>
      <w:bookmarkEnd w:id="64"/>
      <w:bookmarkEnd w:id="65"/>
      <w:bookmarkEnd w:id="66"/>
      <w:bookmarkEnd w:id="67"/>
    </w:p>
    <w:sdt>
      <w:sdtPr>
        <w:id w:val="-1909835108"/>
        <w:placeholder>
          <w:docPart w:val="CE5E3C92127E48608D6DE8F83EAC37B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AEC09DA">
          <w:pPr>
            <w:pStyle w:val="56"/>
            <w:ind w:firstLine="420"/>
          </w:pPr>
          <w:bookmarkStart w:id="68" w:name="_Toc26986532"/>
          <w:bookmarkEnd w:id="68"/>
          <w:r>
            <w:t>本文件没有需要界定的术语和定义。</w:t>
          </w:r>
        </w:p>
      </w:sdtContent>
    </w:sdt>
    <w:p w14:paraId="0A3CE39C">
      <w:pPr>
        <w:pStyle w:val="104"/>
        <w:spacing w:before="312" w:after="312"/>
      </w:pPr>
      <w:bookmarkStart w:id="69" w:name="_Toc164968419"/>
      <w:bookmarkStart w:id="70" w:name="_Toc165209711"/>
      <w:bookmarkStart w:id="71" w:name="_Toc164968232"/>
      <w:bookmarkStart w:id="72" w:name="_Toc164969693"/>
      <w:bookmarkStart w:id="73" w:name="_Toc156119756"/>
      <w:bookmarkStart w:id="74" w:name="_Toc164937269"/>
      <w:bookmarkStart w:id="75" w:name="_Toc156142996"/>
      <w:bookmarkStart w:id="76" w:name="_Toc156119785"/>
      <w:r>
        <w:rPr>
          <w:rFonts w:hint="eastAsia"/>
        </w:rPr>
        <w:t>播前准备</w:t>
      </w:r>
      <w:bookmarkEnd w:id="69"/>
      <w:bookmarkEnd w:id="70"/>
      <w:bookmarkEnd w:id="71"/>
      <w:bookmarkEnd w:id="72"/>
      <w:bookmarkEnd w:id="73"/>
      <w:bookmarkEnd w:id="74"/>
      <w:bookmarkEnd w:id="75"/>
      <w:bookmarkEnd w:id="76"/>
    </w:p>
    <w:p w14:paraId="738A93A9">
      <w:pPr>
        <w:pStyle w:val="105"/>
        <w:spacing w:before="156" w:after="156"/>
      </w:pPr>
      <w:bookmarkStart w:id="77" w:name="_Toc156119757"/>
      <w:r>
        <w:rPr>
          <w:rFonts w:hint="eastAsia"/>
        </w:rPr>
        <w:t>核桃林选择</w:t>
      </w:r>
      <w:bookmarkEnd w:id="77"/>
    </w:p>
    <w:p w14:paraId="1D988FDF">
      <w:pPr>
        <w:pStyle w:val="56"/>
        <w:ind w:firstLine="420"/>
      </w:pPr>
      <w:r>
        <w:rPr>
          <w:rFonts w:hint="eastAsia"/>
        </w:rPr>
        <w:t>应以核桃幼林或行距&gt;5 m、林地透光率≥30%的盛果林为宜。</w:t>
      </w:r>
    </w:p>
    <w:p w14:paraId="203A46BF">
      <w:pPr>
        <w:pStyle w:val="105"/>
        <w:spacing w:before="156" w:after="156"/>
      </w:pPr>
      <w:bookmarkStart w:id="78" w:name="_Toc156119758"/>
      <w:r>
        <w:rPr>
          <w:rFonts w:hint="eastAsia"/>
        </w:rPr>
        <w:t>蓄水保墒</w:t>
      </w:r>
      <w:bookmarkEnd w:id="78"/>
    </w:p>
    <w:p w14:paraId="021B1F7D">
      <w:pPr>
        <w:pStyle w:val="56"/>
        <w:ind w:firstLine="420"/>
      </w:pPr>
      <w:r>
        <w:rPr>
          <w:rFonts w:hint="eastAsia"/>
        </w:rPr>
        <w:t>林地秋季深耕、树底盘耕，达到冬季蓄水保墒、防虫目的。</w:t>
      </w:r>
    </w:p>
    <w:p w14:paraId="3083CF38">
      <w:pPr>
        <w:pStyle w:val="105"/>
        <w:spacing w:before="156" w:after="156"/>
      </w:pPr>
      <w:bookmarkStart w:id="79" w:name="_Toc156119759"/>
      <w:r>
        <w:rPr>
          <w:rFonts w:hint="eastAsia"/>
        </w:rPr>
        <w:t>施肥整地</w:t>
      </w:r>
      <w:bookmarkEnd w:id="79"/>
    </w:p>
    <w:p w14:paraId="56846D37">
      <w:pPr>
        <w:pStyle w:val="56"/>
        <w:ind w:firstLine="420"/>
      </w:pPr>
      <w:r>
        <w:rPr>
          <w:rFonts w:hint="eastAsia"/>
        </w:rPr>
        <w:t>套种方式下重施基肥,以满足核桃树和绿豆对肥料的需求，按每667 m</w:t>
      </w:r>
      <w:r>
        <w:rPr>
          <w:rFonts w:hint="eastAsia"/>
          <w:vertAlign w:val="superscript"/>
        </w:rPr>
        <w:t>2</w:t>
      </w:r>
      <w:r>
        <w:rPr>
          <w:rFonts w:hint="eastAsia"/>
        </w:rPr>
        <w:t xml:space="preserve"> 施优质腐熟的农家肥1.5 m</w:t>
      </w:r>
      <w:r>
        <w:rPr>
          <w:rFonts w:hint="eastAsia"/>
          <w:vertAlign w:val="superscript"/>
        </w:rPr>
        <w:t>3</w:t>
      </w:r>
      <w:r>
        <w:rPr>
          <w:rFonts w:hint="eastAsia"/>
        </w:rPr>
        <w:t>～2 m</w:t>
      </w:r>
      <w:r>
        <w:rPr>
          <w:rFonts w:hint="eastAsia"/>
          <w:vertAlign w:val="superscript"/>
        </w:rPr>
        <w:t>3</w:t>
      </w:r>
      <w:r>
        <w:rPr>
          <w:rFonts w:hint="eastAsia"/>
        </w:rPr>
        <w:t>，复合肥料45 kg～50 kg，肥料标准符合(NY/T496)标准。播前随旋耕机具施入地中。春季解冻后，整地备耕，精细整地，整地后，达到地面平整，土壤上松下实。有灌溉条件的地区在距核桃主茎0.5 m～1 m，做畦，备水道。</w:t>
      </w:r>
    </w:p>
    <w:p w14:paraId="53DC5D6B">
      <w:pPr>
        <w:pStyle w:val="105"/>
        <w:spacing w:before="156" w:after="156"/>
      </w:pPr>
      <w:bookmarkStart w:id="80" w:name="_Toc156119760"/>
      <w:r>
        <w:rPr>
          <w:rFonts w:hint="eastAsia"/>
        </w:rPr>
        <w:t>品种选择</w:t>
      </w:r>
    </w:p>
    <w:p w14:paraId="0DBDEFF8">
      <w:pPr>
        <w:pStyle w:val="56"/>
        <w:ind w:firstLine="420"/>
      </w:pPr>
      <w:r>
        <w:rPr>
          <w:rFonts w:hint="eastAsia"/>
        </w:rPr>
        <w:t>选择生育期短、耐阴性好、适宜林地1种植的绿豆品种，种子质量应符合GB 4404.2标准要求。</w:t>
      </w:r>
    </w:p>
    <w:p w14:paraId="35F11861">
      <w:pPr>
        <w:pStyle w:val="105"/>
        <w:spacing w:before="156" w:after="156"/>
      </w:pPr>
      <w:r>
        <w:rPr>
          <w:rFonts w:hint="eastAsia"/>
        </w:rPr>
        <w:t>种子</w:t>
      </w:r>
      <w:r>
        <w:t>处理</w:t>
      </w:r>
      <w:bookmarkEnd w:id="80"/>
    </w:p>
    <w:p w14:paraId="4F839C1F">
      <w:pPr>
        <w:pStyle w:val="56"/>
        <w:ind w:firstLine="420"/>
      </w:pPr>
      <w:r>
        <w:rPr>
          <w:rFonts w:hint="eastAsia"/>
        </w:rPr>
        <w:t>用种子重量0.2%的40%辛硫磷乳油进行种子闷堆拌种。</w:t>
      </w:r>
    </w:p>
    <w:p w14:paraId="63663446">
      <w:pPr>
        <w:pStyle w:val="104"/>
        <w:spacing w:before="312" w:after="312"/>
      </w:pPr>
      <w:bookmarkStart w:id="81" w:name="_Toc164937270"/>
      <w:bookmarkStart w:id="82" w:name="_Toc164968420"/>
      <w:bookmarkStart w:id="83" w:name="_Toc156142997"/>
      <w:bookmarkStart w:id="84" w:name="_Toc165209712"/>
      <w:bookmarkStart w:id="85" w:name="_Toc164969694"/>
      <w:bookmarkStart w:id="86" w:name="_Toc164968233"/>
      <w:r>
        <w:rPr>
          <w:rFonts w:hint="eastAsia"/>
        </w:rPr>
        <w:t>套种</w:t>
      </w:r>
      <w:bookmarkEnd w:id="81"/>
      <w:bookmarkEnd w:id="82"/>
      <w:bookmarkEnd w:id="83"/>
      <w:bookmarkEnd w:id="84"/>
      <w:bookmarkEnd w:id="85"/>
      <w:bookmarkEnd w:id="86"/>
    </w:p>
    <w:p w14:paraId="00B43BF5">
      <w:pPr>
        <w:pStyle w:val="105"/>
        <w:spacing w:before="156" w:after="156"/>
      </w:pPr>
      <w:bookmarkStart w:id="87" w:name="_Toc156119763"/>
      <w:r>
        <w:rPr>
          <w:rFonts w:hint="eastAsia"/>
        </w:rPr>
        <w:t>种植方式</w:t>
      </w:r>
      <w:bookmarkEnd w:id="87"/>
    </w:p>
    <w:p w14:paraId="58BEC7AD">
      <w:pPr>
        <w:pStyle w:val="56"/>
        <w:ind w:firstLine="420"/>
      </w:pPr>
      <w:r>
        <w:rPr>
          <w:rFonts w:hint="eastAsia"/>
        </w:rPr>
        <w:t>幼林地绿豆种植带应距离核桃树干主茎0.5 m～1 m，盛果林绿豆种植带应距离核桃树干主茎1.5 m以上，绿豆以宽窄行精量穴播为宜（宽行0.60 m，窄行0.40 m）。</w:t>
      </w:r>
    </w:p>
    <w:p w14:paraId="4BF654AC">
      <w:pPr>
        <w:pStyle w:val="105"/>
        <w:spacing w:before="156" w:after="156"/>
      </w:pPr>
      <w:bookmarkStart w:id="88" w:name="_Toc156119764"/>
      <w:r>
        <w:rPr>
          <w:rFonts w:hint="eastAsia"/>
        </w:rPr>
        <w:t>播种时间</w:t>
      </w:r>
      <w:bookmarkEnd w:id="88"/>
    </w:p>
    <w:p w14:paraId="003C2C99">
      <w:pPr>
        <w:pStyle w:val="56"/>
        <w:ind w:firstLine="420"/>
      </w:pPr>
      <w:r>
        <w:rPr>
          <w:rFonts w:hint="eastAsia"/>
        </w:rPr>
        <w:t>土壤5 cm 地温稳定在15 ℃以上时,绿豆即可播种,适宜播种期为5月上～中旬。</w:t>
      </w:r>
    </w:p>
    <w:p w14:paraId="78DF89BF">
      <w:pPr>
        <w:pStyle w:val="105"/>
        <w:spacing w:before="156" w:after="156"/>
      </w:pPr>
      <w:bookmarkStart w:id="89" w:name="_Toc156119765"/>
      <w:r>
        <w:rPr>
          <w:rFonts w:hint="eastAsia"/>
        </w:rPr>
        <w:t>播种密度</w:t>
      </w:r>
      <w:bookmarkEnd w:id="89"/>
    </w:p>
    <w:p w14:paraId="2BC47082">
      <w:pPr>
        <w:pStyle w:val="56"/>
        <w:ind w:firstLine="420"/>
      </w:pPr>
      <w:r>
        <w:rPr>
          <w:rFonts w:hint="eastAsia"/>
        </w:rPr>
        <w:t>核桃幼林地绿豆种植密度为7 200株/667 m</w:t>
      </w:r>
      <w:r>
        <w:rPr>
          <w:rFonts w:hint="eastAsia"/>
          <w:vertAlign w:val="superscript"/>
        </w:rPr>
        <w:t>2</w:t>
      </w:r>
      <w:r>
        <w:rPr>
          <w:rFonts w:hint="eastAsia"/>
        </w:rPr>
        <w:t>（行距0.40 m～0.60 m，穴距0.22 m，每穴2粒），盛果林地绿豆种植密度为5 600株/667 m</w:t>
      </w:r>
      <w:r>
        <w:rPr>
          <w:rFonts w:hint="eastAsia"/>
          <w:vertAlign w:val="superscript"/>
        </w:rPr>
        <w:t>2</w:t>
      </w:r>
      <w:r>
        <w:rPr>
          <w:rFonts w:hint="eastAsia"/>
        </w:rPr>
        <w:t>（行距0.40 m～0.60 m，穴距0.19 m，每穴2粒）。可采用机械进行精量播种。</w:t>
      </w:r>
    </w:p>
    <w:p w14:paraId="0DA082D6">
      <w:pPr>
        <w:pStyle w:val="105"/>
        <w:spacing w:before="156" w:after="156"/>
      </w:pPr>
      <w:bookmarkStart w:id="90" w:name="_Toc156119766"/>
      <w:r>
        <w:rPr>
          <w:rFonts w:hint="eastAsia"/>
        </w:rPr>
        <w:t>播种深度</w:t>
      </w:r>
      <w:bookmarkEnd w:id="90"/>
    </w:p>
    <w:p w14:paraId="7458914E">
      <w:pPr>
        <w:pStyle w:val="56"/>
        <w:ind w:firstLine="420"/>
      </w:pPr>
      <w:r>
        <w:rPr>
          <w:rFonts w:hint="eastAsia"/>
        </w:rPr>
        <w:t>绿豆播深以3 cm～5 cm 为宜，沙壤土略深，粘壤土略浅，要求播种深度一致，覆土均匀。</w:t>
      </w:r>
    </w:p>
    <w:p w14:paraId="3B958252">
      <w:pPr>
        <w:pStyle w:val="105"/>
        <w:spacing w:before="156" w:after="156"/>
      </w:pPr>
      <w:bookmarkStart w:id="91" w:name="_Toc156119767"/>
      <w:r>
        <w:rPr>
          <w:rFonts w:hint="eastAsia"/>
        </w:rPr>
        <w:t>播种</w:t>
      </w:r>
      <w:r>
        <w:t>机具</w:t>
      </w:r>
      <w:bookmarkEnd w:id="91"/>
    </w:p>
    <w:p w14:paraId="64745159">
      <w:pPr>
        <w:pStyle w:val="56"/>
        <w:ind w:firstLine="420"/>
      </w:pPr>
      <w:r>
        <w:rPr>
          <w:rFonts w:hint="eastAsia"/>
        </w:rPr>
        <w:t>平川地选用动力机械播种，山坡丘陵地选用手动式小型播种机。</w:t>
      </w:r>
    </w:p>
    <w:p w14:paraId="0B0D1ED4">
      <w:pPr>
        <w:pStyle w:val="104"/>
        <w:spacing w:before="312" w:after="312"/>
      </w:pPr>
      <w:bookmarkStart w:id="92" w:name="_Toc156119768"/>
      <w:bookmarkStart w:id="93" w:name="_Toc156119787"/>
      <w:bookmarkStart w:id="94" w:name="_Toc165209713"/>
      <w:bookmarkStart w:id="95" w:name="_Toc164969695"/>
      <w:bookmarkStart w:id="96" w:name="_Toc164968421"/>
      <w:bookmarkStart w:id="97" w:name="_Toc164968234"/>
      <w:bookmarkStart w:id="98" w:name="_Toc156142998"/>
      <w:bookmarkStart w:id="99" w:name="_Toc164937271"/>
      <w:r>
        <w:rPr>
          <w:rFonts w:hint="eastAsia"/>
        </w:rPr>
        <w:t>田间管理</w:t>
      </w:r>
      <w:bookmarkEnd w:id="92"/>
      <w:bookmarkEnd w:id="93"/>
      <w:bookmarkEnd w:id="94"/>
      <w:bookmarkEnd w:id="95"/>
      <w:bookmarkEnd w:id="96"/>
      <w:bookmarkEnd w:id="97"/>
      <w:bookmarkEnd w:id="98"/>
      <w:bookmarkEnd w:id="99"/>
    </w:p>
    <w:p w14:paraId="41A77DC9">
      <w:pPr>
        <w:pStyle w:val="105"/>
        <w:spacing w:before="156" w:after="156"/>
      </w:pPr>
      <w:bookmarkStart w:id="100" w:name="_Toc156119769"/>
      <w:r>
        <w:rPr>
          <w:rFonts w:hint="eastAsia"/>
        </w:rPr>
        <w:t>查苗补种</w:t>
      </w:r>
      <w:bookmarkEnd w:id="100"/>
    </w:p>
    <w:p w14:paraId="5316C821">
      <w:pPr>
        <w:pStyle w:val="56"/>
        <w:ind w:firstLine="420"/>
      </w:pPr>
      <w:r>
        <w:rPr>
          <w:rFonts w:hint="eastAsia"/>
        </w:rPr>
        <w:t>出苗如遇土壤干旱或鸟禽危害，造成缺苗断垄率≧10%及时补种，缺苗断垄≧50%,毁苗重播。</w:t>
      </w:r>
    </w:p>
    <w:p w14:paraId="2EB1252F">
      <w:pPr>
        <w:pStyle w:val="105"/>
        <w:spacing w:before="156" w:after="156"/>
      </w:pPr>
      <w:bookmarkStart w:id="101" w:name="_Toc156119770"/>
      <w:r>
        <w:rPr>
          <w:rFonts w:hint="eastAsia"/>
        </w:rPr>
        <w:t>中耕除草</w:t>
      </w:r>
      <w:bookmarkEnd w:id="101"/>
      <w:bookmarkStart w:id="144" w:name="_GoBack"/>
      <w:bookmarkEnd w:id="144"/>
    </w:p>
    <w:p w14:paraId="5606A6B7">
      <w:pPr>
        <w:pStyle w:val="56"/>
        <w:ind w:firstLine="420"/>
      </w:pPr>
      <w:r>
        <w:rPr>
          <w:rFonts w:hint="eastAsia"/>
        </w:rPr>
        <w:t>为达到提温、保墒，防板结、减除草害的目的，绿豆生育期内结合中耕除草3</w:t>
      </w:r>
      <w:r>
        <w:rPr>
          <w:rFonts w:hint="eastAsia"/>
          <w:lang w:val="en-US" w:eastAsia="zh-CN"/>
        </w:rPr>
        <w:t>次</w:t>
      </w:r>
      <w:r>
        <w:rPr>
          <w:rFonts w:hint="eastAsia"/>
        </w:rPr>
        <w:t>～4次，中耕深度应掌握浅-深-浅的原则；清除树底杂草枯枝病叶，减少核桃树害虫寄主。播种面积较大时可在播后苗前选用精异丙甲草胺（100</w:t>
      </w:r>
      <w:r>
        <w:rPr>
          <w:rFonts w:hint="eastAsia"/>
          <w:lang w:val="en-US" w:eastAsia="zh-CN"/>
        </w:rPr>
        <w:t xml:space="preserve"> </w:t>
      </w:r>
      <w:r>
        <w:rPr>
          <w:rFonts w:hint="eastAsia"/>
        </w:rPr>
        <w:t>ml/666.7 m</w:t>
      </w:r>
      <w:r>
        <w:rPr>
          <w:rFonts w:hint="eastAsia"/>
          <w:vertAlign w:val="superscript"/>
        </w:rPr>
        <w:t>2</w:t>
      </w:r>
      <w:r>
        <w:rPr>
          <w:rFonts w:hint="eastAsia"/>
        </w:rPr>
        <w:t>）封闭防草1次，绿豆2片～3片复叶时喷施氟磺胺草醚+精喹禾灵（180</w:t>
      </w:r>
      <w:r>
        <w:rPr>
          <w:rFonts w:hint="eastAsia"/>
          <w:lang w:val="en-US" w:eastAsia="zh-CN"/>
        </w:rPr>
        <w:t xml:space="preserve"> </w:t>
      </w:r>
      <w:r>
        <w:rPr>
          <w:rFonts w:hint="eastAsia"/>
        </w:rPr>
        <w:t>ml/666.7 m</w:t>
      </w:r>
      <w:r>
        <w:rPr>
          <w:rFonts w:hint="eastAsia"/>
          <w:vertAlign w:val="superscript"/>
        </w:rPr>
        <w:t>2</w:t>
      </w:r>
      <w:r>
        <w:rPr>
          <w:rFonts w:hint="eastAsia"/>
        </w:rPr>
        <w:t>）化学除草1次。</w:t>
      </w:r>
    </w:p>
    <w:p w14:paraId="047C5A7F">
      <w:pPr>
        <w:pStyle w:val="105"/>
        <w:spacing w:before="156" w:after="156"/>
      </w:pPr>
      <w:bookmarkStart w:id="102" w:name="_Toc156119771"/>
      <w:r>
        <w:rPr>
          <w:rFonts w:hint="eastAsia"/>
        </w:rPr>
        <w:t>合理</w:t>
      </w:r>
      <w:r>
        <w:t>追肥</w:t>
      </w:r>
      <w:bookmarkEnd w:id="102"/>
    </w:p>
    <w:p w14:paraId="7E7E4801">
      <w:pPr>
        <w:pStyle w:val="56"/>
        <w:ind w:firstLine="420"/>
      </w:pPr>
      <w:r>
        <w:rPr>
          <w:rFonts w:hint="eastAsia"/>
        </w:rPr>
        <w:t>在绿豆花荚前期每667 m</w:t>
      </w:r>
      <w:r>
        <w:rPr>
          <w:rFonts w:hint="eastAsia"/>
          <w:vertAlign w:val="superscript"/>
        </w:rPr>
        <w:t>2</w:t>
      </w:r>
      <w:r>
        <w:rPr>
          <w:rFonts w:hint="eastAsia"/>
        </w:rPr>
        <w:t xml:space="preserve"> 补追尿素5 kg～10 kg，也可叶面喷施2%磷酸二氢钾水溶液喷施1次～2次。</w:t>
      </w:r>
    </w:p>
    <w:p w14:paraId="3029677B">
      <w:pPr>
        <w:pStyle w:val="105"/>
        <w:spacing w:before="156" w:after="156"/>
      </w:pPr>
      <w:bookmarkStart w:id="103" w:name="_Toc156119772"/>
      <w:r>
        <w:rPr>
          <w:rFonts w:hint="eastAsia"/>
        </w:rPr>
        <w:t>适时灌溉</w:t>
      </w:r>
      <w:bookmarkEnd w:id="103"/>
    </w:p>
    <w:p w14:paraId="36BCC4A6">
      <w:pPr>
        <w:pStyle w:val="56"/>
        <w:ind w:firstLine="420"/>
      </w:pPr>
      <w:r>
        <w:rPr>
          <w:rFonts w:hint="eastAsia"/>
        </w:rPr>
        <w:t>有灌溉条件的地区在绿豆现蕾到开花期结合天气和土壤水分状况进行灌水。</w:t>
      </w:r>
    </w:p>
    <w:p w14:paraId="73D22ABE">
      <w:pPr>
        <w:pStyle w:val="104"/>
        <w:spacing w:before="312" w:after="312"/>
      </w:pPr>
      <w:bookmarkStart w:id="104" w:name="_Toc156142999"/>
      <w:bookmarkStart w:id="105" w:name="_Toc164937272"/>
      <w:bookmarkStart w:id="106" w:name="_Toc164968235"/>
      <w:bookmarkStart w:id="107" w:name="_Toc164969696"/>
      <w:bookmarkStart w:id="108" w:name="_Toc164968422"/>
      <w:bookmarkStart w:id="109" w:name="_Toc156119788"/>
      <w:bookmarkStart w:id="110" w:name="_Toc165209714"/>
      <w:bookmarkStart w:id="111" w:name="_Toc156119773"/>
      <w:r>
        <w:rPr>
          <w:rFonts w:hint="eastAsia"/>
        </w:rPr>
        <w:t>病虫害</w:t>
      </w:r>
      <w:r>
        <w:t>防治</w:t>
      </w:r>
      <w:bookmarkEnd w:id="104"/>
      <w:bookmarkEnd w:id="105"/>
      <w:bookmarkEnd w:id="106"/>
      <w:bookmarkEnd w:id="107"/>
      <w:bookmarkEnd w:id="108"/>
      <w:bookmarkEnd w:id="109"/>
      <w:bookmarkEnd w:id="110"/>
      <w:bookmarkEnd w:id="111"/>
    </w:p>
    <w:p w14:paraId="42E95377">
      <w:pPr>
        <w:pStyle w:val="56"/>
        <w:ind w:firstLine="420"/>
      </w:pPr>
      <w:r>
        <w:rPr>
          <w:rFonts w:hint="eastAsia"/>
        </w:rPr>
        <w:t>坚持以预防为主综合防治的方针，优先使用农业防治、物理防治和生物防治，科学合理地使用化学防治，农药使用应符合GB/T 8321.9 (所有部分)。</w:t>
      </w:r>
    </w:p>
    <w:p w14:paraId="5FC74C55">
      <w:pPr>
        <w:pStyle w:val="105"/>
        <w:spacing w:before="156" w:after="156"/>
      </w:pPr>
      <w:bookmarkStart w:id="112" w:name="_Toc156119774"/>
      <w:r>
        <w:rPr>
          <w:rFonts w:hint="eastAsia"/>
        </w:rPr>
        <w:t>病害防治</w:t>
      </w:r>
      <w:bookmarkEnd w:id="112"/>
    </w:p>
    <w:p w14:paraId="3E76D6C9">
      <w:pPr>
        <w:pStyle w:val="65"/>
        <w:spacing w:before="156" w:after="156"/>
      </w:pPr>
      <w:r>
        <w:rPr>
          <w:rFonts w:hint="eastAsia"/>
        </w:rPr>
        <w:t>核桃黑斑病</w:t>
      </w:r>
    </w:p>
    <w:p w14:paraId="6CCE15EA">
      <w:pPr>
        <w:pStyle w:val="56"/>
        <w:ind w:firstLine="420"/>
      </w:pPr>
      <w:r>
        <w:rPr>
          <w:rFonts w:hint="eastAsia"/>
        </w:rPr>
        <w:t>发芽前喷施5 Be～10 Be石硫合剂或50%多菌灵可湿性粉剂1 000倍液，在核桃开花前，幼果期，果实迅速生长期各喷1次75%百菌清 600倍液或50%甲基托布津500倍～1 000倍液。</w:t>
      </w:r>
    </w:p>
    <w:p w14:paraId="46EDDA30">
      <w:pPr>
        <w:pStyle w:val="65"/>
        <w:spacing w:before="156" w:after="156"/>
      </w:pPr>
      <w:r>
        <w:rPr>
          <w:rFonts w:hint="eastAsia"/>
        </w:rPr>
        <w:t>核桃枝枯病</w:t>
      </w:r>
    </w:p>
    <w:p w14:paraId="653A66E6">
      <w:pPr>
        <w:pStyle w:val="56"/>
        <w:ind w:firstLine="420"/>
      </w:pPr>
      <w:r>
        <w:rPr>
          <w:rFonts w:hint="eastAsia"/>
        </w:rPr>
        <w:t>发现病斑及时整枝剪除,无法剪除的应及时刮除病部，并用1％硫酸铜或50％甲基托布津可湿性粉剂消毒再涂抹煤焦油保护树干，主干发病，应及时刮除病部同时用药,6-8月用70%甲基托布津可湿性粉剂500倍液,连续防治2</w:t>
      </w:r>
      <w:bookmarkStart w:id="113" w:name="_Hlk164968145"/>
      <w:r>
        <w:rPr>
          <w:rFonts w:hint="eastAsia"/>
        </w:rPr>
        <w:t>次～</w:t>
      </w:r>
      <w:bookmarkEnd w:id="113"/>
      <w:r>
        <w:rPr>
          <w:rFonts w:hint="eastAsia"/>
        </w:rPr>
        <w:t>3次。</w:t>
      </w:r>
    </w:p>
    <w:p w14:paraId="6721882B">
      <w:pPr>
        <w:pStyle w:val="65"/>
        <w:spacing w:before="156" w:after="156"/>
      </w:pPr>
      <w:r>
        <w:rPr>
          <w:rFonts w:hint="eastAsia"/>
        </w:rPr>
        <w:t>绿豆立枯病</w:t>
      </w:r>
    </w:p>
    <w:p w14:paraId="305EB6C1">
      <w:pPr>
        <w:pStyle w:val="56"/>
        <w:ind w:firstLine="420"/>
      </w:pPr>
      <w:r>
        <w:rPr>
          <w:rFonts w:hint="eastAsia"/>
        </w:rPr>
        <w:t>用15%恶霉灵水剂450倍液或70%甲基托布津可湿性粉剂500倍液，在发病初期喷雾连续防治2次～3次。</w:t>
      </w:r>
    </w:p>
    <w:p w14:paraId="19328CFD">
      <w:pPr>
        <w:pStyle w:val="65"/>
        <w:spacing w:before="156" w:after="156"/>
      </w:pPr>
      <w:r>
        <w:rPr>
          <w:rFonts w:hint="eastAsia"/>
        </w:rPr>
        <w:t>绿豆叶斑病</w:t>
      </w:r>
    </w:p>
    <w:p w14:paraId="7A41F54B">
      <w:pPr>
        <w:pStyle w:val="56"/>
        <w:ind w:firstLine="420"/>
      </w:pPr>
      <w:r>
        <w:rPr>
          <w:rFonts w:hint="eastAsia"/>
        </w:rPr>
        <w:t>用75%百菌清可湿性粉剂500倍～800倍液或75%代森锰锌可湿性粉剂600倍液，在发病初期喷雾,连续防治2次～3次。</w:t>
      </w:r>
    </w:p>
    <w:p w14:paraId="0CBD881F">
      <w:pPr>
        <w:pStyle w:val="65"/>
        <w:spacing w:before="156" w:after="156"/>
      </w:pPr>
      <w:r>
        <w:rPr>
          <w:rFonts w:hint="eastAsia"/>
        </w:rPr>
        <w:t>绿豆白粉病</w:t>
      </w:r>
    </w:p>
    <w:p w14:paraId="0EC433F7">
      <w:pPr>
        <w:pStyle w:val="56"/>
        <w:ind w:firstLine="420"/>
      </w:pPr>
      <w:r>
        <w:rPr>
          <w:rFonts w:hint="eastAsia"/>
        </w:rPr>
        <w:t>用25%三唑酮可湿性粉剂2 000倍～3 000倍液或50%多菌灵可湿性粉剂500倍液在发病初期喷雾,连续防治2次～3次。</w:t>
      </w:r>
    </w:p>
    <w:p w14:paraId="044E62A1">
      <w:pPr>
        <w:pStyle w:val="105"/>
        <w:spacing w:before="156" w:after="156"/>
      </w:pPr>
      <w:bookmarkStart w:id="114" w:name="_Toc156119775"/>
      <w:r>
        <w:rPr>
          <w:rFonts w:hint="eastAsia"/>
        </w:rPr>
        <w:t>虫害防治</w:t>
      </w:r>
      <w:bookmarkEnd w:id="114"/>
    </w:p>
    <w:p w14:paraId="58ED2847">
      <w:pPr>
        <w:pStyle w:val="65"/>
        <w:spacing w:before="156" w:after="156"/>
      </w:pPr>
      <w:r>
        <w:rPr>
          <w:rFonts w:hint="eastAsia"/>
        </w:rPr>
        <w:t>核桃举肢蛾</w:t>
      </w:r>
    </w:p>
    <w:p w14:paraId="20066165">
      <w:pPr>
        <w:pStyle w:val="56"/>
        <w:ind w:firstLine="420"/>
      </w:pPr>
      <w:r>
        <w:rPr>
          <w:rFonts w:hint="eastAsia"/>
        </w:rPr>
        <w:t>成虫出土前,用50％辛硫磷300倍液地面喷洒毒杀,在成虫产卵和蛀果前用50％杀螟松1 000倍液或20％速灭杀丁乳油5 000倍液各喷1次～2次。</w:t>
      </w:r>
    </w:p>
    <w:p w14:paraId="40982AB2">
      <w:pPr>
        <w:pStyle w:val="65"/>
        <w:spacing w:before="156" w:after="156"/>
      </w:pPr>
      <w:r>
        <w:rPr>
          <w:rFonts w:hint="eastAsia"/>
        </w:rPr>
        <w:t>核桃小吉丁虫</w:t>
      </w:r>
    </w:p>
    <w:p w14:paraId="0782059B">
      <w:pPr>
        <w:pStyle w:val="56"/>
        <w:ind w:firstLine="420"/>
      </w:pPr>
      <w:r>
        <w:rPr>
          <w:rFonts w:hint="eastAsia"/>
        </w:rPr>
        <w:t>用25％西维因可湿性粉剂500倍液，或2.5％溴氰菊酯乳剂4 000倍液在成虫羽化出洞前用药剂封闭树干或成虫发生期各喷1次～2次。</w:t>
      </w:r>
    </w:p>
    <w:p w14:paraId="646A35B1">
      <w:pPr>
        <w:pStyle w:val="65"/>
        <w:spacing w:before="156" w:after="156"/>
      </w:pPr>
      <w:r>
        <w:rPr>
          <w:rFonts w:hint="eastAsia"/>
        </w:rPr>
        <w:t>蚜虫</w:t>
      </w:r>
    </w:p>
    <w:p w14:paraId="0FFF1C21">
      <w:pPr>
        <w:pStyle w:val="56"/>
        <w:ind w:firstLine="420"/>
      </w:pPr>
      <w:r>
        <w:rPr>
          <w:rFonts w:hint="eastAsia"/>
        </w:rPr>
        <w:t>用25%吡虫啉可湿性粉剂1 500倍～2 000倍液或20%丁硫克百威乳油1 500倍液在发病初期喷雾防治。</w:t>
      </w:r>
    </w:p>
    <w:p w14:paraId="3F8814C9">
      <w:pPr>
        <w:pStyle w:val="65"/>
        <w:spacing w:before="156" w:after="156"/>
      </w:pPr>
      <w:r>
        <w:rPr>
          <w:rFonts w:hint="eastAsia"/>
        </w:rPr>
        <w:t>红蜘蛛</w:t>
      </w:r>
    </w:p>
    <w:p w14:paraId="09E101B6">
      <w:pPr>
        <w:pStyle w:val="56"/>
        <w:ind w:firstLine="420"/>
      </w:pPr>
      <w:r>
        <w:rPr>
          <w:rFonts w:hint="eastAsia"/>
        </w:rPr>
        <w:t>用1.8%阿维菌素乳油3 000倍～5 000倍液、20%螨死净可湿性粉剂2 000倍液或15%哒螨灵乳油2 000倍液，在发病初期喷雾防治。</w:t>
      </w:r>
    </w:p>
    <w:p w14:paraId="048E21D9">
      <w:pPr>
        <w:pStyle w:val="65"/>
        <w:spacing w:before="156" w:after="156"/>
      </w:pPr>
      <w:r>
        <w:rPr>
          <w:rFonts w:hint="eastAsia"/>
        </w:rPr>
        <w:t>豆荚螟</w:t>
      </w:r>
    </w:p>
    <w:p w14:paraId="0D37E003">
      <w:pPr>
        <w:pStyle w:val="56"/>
        <w:ind w:firstLine="420"/>
      </w:pPr>
      <w:r>
        <w:rPr>
          <w:rFonts w:hint="eastAsia"/>
        </w:rPr>
        <w:t>用2.5%溴氰菊酯4 000倍液或90%晶体敌百虫700倍～1 000倍液花荚期喷雾防治，连续防治2次～3次。</w:t>
      </w:r>
    </w:p>
    <w:p w14:paraId="59A2E904">
      <w:pPr>
        <w:pStyle w:val="65"/>
        <w:spacing w:before="156" w:after="156"/>
      </w:pPr>
      <w:r>
        <w:rPr>
          <w:rFonts w:hint="eastAsia"/>
        </w:rPr>
        <w:t>豆象</w:t>
      </w:r>
    </w:p>
    <w:p w14:paraId="177FC135">
      <w:pPr>
        <w:pStyle w:val="56"/>
        <w:ind w:firstLine="420"/>
      </w:pPr>
      <w:r>
        <w:rPr>
          <w:rFonts w:hint="eastAsia"/>
        </w:rPr>
        <w:t>用40%的辛硫磷乳油500倍液浸种2 h + 40%的辛硫磷乳油500倍液花荚期喷雾防治，连续防治2次～3次。</w:t>
      </w:r>
    </w:p>
    <w:p w14:paraId="6F4CDED5">
      <w:pPr>
        <w:pStyle w:val="104"/>
        <w:spacing w:before="312" w:after="312"/>
      </w:pPr>
      <w:bookmarkStart w:id="115" w:name="_Toc156143000"/>
      <w:bookmarkStart w:id="116" w:name="_Toc164937273"/>
      <w:bookmarkStart w:id="117" w:name="_Toc165209715"/>
      <w:bookmarkStart w:id="118" w:name="_Toc164968423"/>
      <w:bookmarkStart w:id="119" w:name="_Toc164969697"/>
      <w:bookmarkStart w:id="120" w:name="_Toc164968236"/>
      <w:bookmarkStart w:id="121" w:name="_Toc156119776"/>
      <w:bookmarkStart w:id="122" w:name="_Toc156119789"/>
      <w:r>
        <w:rPr>
          <w:rFonts w:hint="eastAsia"/>
        </w:rPr>
        <w:t>收获</w:t>
      </w:r>
      <w:bookmarkEnd w:id="115"/>
      <w:bookmarkEnd w:id="116"/>
      <w:bookmarkEnd w:id="117"/>
      <w:bookmarkEnd w:id="118"/>
      <w:bookmarkEnd w:id="119"/>
      <w:bookmarkEnd w:id="120"/>
      <w:bookmarkEnd w:id="121"/>
      <w:bookmarkEnd w:id="122"/>
    </w:p>
    <w:p w14:paraId="498E2B1F">
      <w:pPr>
        <w:pStyle w:val="56"/>
        <w:ind w:firstLine="420"/>
      </w:pPr>
      <w:r>
        <w:rPr>
          <w:rFonts w:hint="eastAsia"/>
        </w:rPr>
        <w:t>适宜机械化收获的地块，当黑荚达95%时，选在晴天上午9：00以后，选用谷王TB80或双兴达4DL-5绿豆收获机一次性收获，收割速度控制在每小时10亩～12亩左右。若不能机械收获时，小面积种植根据成熟情况随熟随收，以每隔7 d 采摘1次效果较好。大面积种植采收可在80%豆荚成熟时，利用早晨或下午收割，避免中午炸荚丢粒。收割后堆成小垛放置1 d～2 d,促其后熟,然后及时晾晒脱粒、入库。入库后可用磷化铝熏蒸防止豆象危害。</w:t>
      </w:r>
    </w:p>
    <w:p w14:paraId="1F91E284">
      <w:pPr>
        <w:pStyle w:val="104"/>
        <w:spacing w:before="312" w:after="312"/>
      </w:pPr>
      <w:bookmarkStart w:id="123" w:name="_Toc165209716"/>
      <w:bookmarkStart w:id="124" w:name="_Toc164969698"/>
      <w:bookmarkStart w:id="125" w:name="_Toc156119790"/>
      <w:bookmarkStart w:id="126" w:name="_Toc164937274"/>
      <w:bookmarkStart w:id="127" w:name="_Toc164968424"/>
      <w:bookmarkStart w:id="128" w:name="_Toc164968237"/>
      <w:bookmarkStart w:id="129" w:name="_Toc156143001"/>
      <w:bookmarkStart w:id="130" w:name="_Toc156119777"/>
      <w:r>
        <w:rPr>
          <w:rFonts w:hint="eastAsia"/>
        </w:rPr>
        <w:t>生产档案</w:t>
      </w:r>
      <w:bookmarkEnd w:id="123"/>
      <w:bookmarkEnd w:id="124"/>
      <w:bookmarkEnd w:id="125"/>
      <w:bookmarkEnd w:id="126"/>
      <w:bookmarkEnd w:id="127"/>
      <w:bookmarkEnd w:id="128"/>
      <w:bookmarkEnd w:id="129"/>
      <w:bookmarkEnd w:id="130"/>
    </w:p>
    <w:p w14:paraId="1CA68D72">
      <w:pPr>
        <w:pStyle w:val="56"/>
        <w:ind w:firstLine="420"/>
      </w:pPr>
      <w:r>
        <w:rPr>
          <w:rFonts w:hint="eastAsia"/>
        </w:rPr>
        <w:t>详细记录播种、施肥、浇水、栽培管理、病虫草害防治和收获等环节采取的主要措施，建立生产档案，并保留存档。保存期2年以上。</w:t>
      </w:r>
    </w:p>
    <w:p w14:paraId="1C81F8C3">
      <w:pPr>
        <w:pStyle w:val="56"/>
        <w:ind w:firstLine="420"/>
      </w:pPr>
    </w:p>
    <w:p w14:paraId="2DCD5F6A">
      <w:pPr>
        <w:pStyle w:val="56"/>
        <w:ind w:firstLine="420"/>
      </w:pPr>
    </w:p>
    <w:p w14:paraId="2BDDC2CA">
      <w:pPr>
        <w:pStyle w:val="56"/>
        <w:ind w:firstLine="420"/>
      </w:pPr>
    </w:p>
    <w:p w14:paraId="4C55A238">
      <w:pPr>
        <w:pStyle w:val="56"/>
        <w:ind w:firstLine="420"/>
      </w:pPr>
    </w:p>
    <w:p w14:paraId="3D7AA93A">
      <w:pPr>
        <w:pStyle w:val="56"/>
        <w:ind w:firstLine="420"/>
      </w:pPr>
    </w:p>
    <w:p w14:paraId="6ECDD33D">
      <w:pPr>
        <w:pStyle w:val="56"/>
        <w:ind w:firstLine="420"/>
      </w:pPr>
    </w:p>
    <w:p w14:paraId="31C245B9">
      <w:pPr>
        <w:pStyle w:val="56"/>
        <w:ind w:firstLine="420"/>
      </w:pPr>
    </w:p>
    <w:p w14:paraId="012FF78F">
      <w:pPr>
        <w:pStyle w:val="56"/>
        <w:ind w:firstLine="420"/>
        <w:sectPr>
          <w:pgSz w:w="11906" w:h="16838"/>
          <w:pgMar w:top="1928" w:right="1134" w:bottom="1134" w:left="1134" w:header="1418" w:footer="1134" w:gutter="284"/>
          <w:pgNumType w:start="1"/>
          <w:cols w:space="425" w:num="1"/>
          <w:formProt w:val="0"/>
          <w:docGrid w:type="lines" w:linePitch="312" w:charSpace="0"/>
        </w:sectPr>
      </w:pPr>
    </w:p>
    <w:bookmarkEnd w:id="29"/>
    <w:p w14:paraId="74462B5B">
      <w:pPr>
        <w:pStyle w:val="198"/>
        <w:rPr>
          <w:vanish w:val="0"/>
        </w:rPr>
      </w:pPr>
      <w:bookmarkStart w:id="131" w:name="BookMark5"/>
    </w:p>
    <w:p w14:paraId="6CD6D6CB">
      <w:pPr>
        <w:pStyle w:val="199"/>
        <w:rPr>
          <w:vanish w:val="0"/>
        </w:rPr>
      </w:pPr>
    </w:p>
    <w:p w14:paraId="3A10B8D4">
      <w:pPr>
        <w:pStyle w:val="76"/>
        <w:spacing w:after="156"/>
      </w:pPr>
      <w:r>
        <w:br w:type="textWrapping"/>
      </w:r>
      <w:bookmarkStart w:id="132" w:name="_Toc164968425"/>
      <w:bookmarkStart w:id="133" w:name="_Toc164968238"/>
      <w:bookmarkStart w:id="134" w:name="_Toc165209717"/>
      <w:bookmarkStart w:id="135" w:name="_Toc164969699"/>
      <w:r>
        <w:rPr>
          <w:rFonts w:hint="eastAsia"/>
        </w:rPr>
        <w:t>（资料性）</w:t>
      </w:r>
      <w:r>
        <w:br w:type="textWrapping"/>
      </w:r>
      <w:r>
        <w:rPr>
          <w:rFonts w:hint="eastAsia"/>
        </w:rPr>
        <w:t>核桃林下套种绿豆主要病、虫害防控常用农药列表</w:t>
      </w:r>
      <w:bookmarkEnd w:id="132"/>
      <w:bookmarkEnd w:id="133"/>
      <w:bookmarkEnd w:id="134"/>
      <w:bookmarkEnd w:id="135"/>
    </w:p>
    <w:tbl>
      <w:tblPr>
        <w:tblStyle w:val="26"/>
        <w:tblW w:w="921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865"/>
        <w:gridCol w:w="3782"/>
        <w:gridCol w:w="992"/>
        <w:gridCol w:w="1134"/>
      </w:tblGrid>
      <w:tr w14:paraId="5A38F5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tcBorders>
              <w:top w:val="single" w:color="auto" w:sz="8" w:space="0"/>
              <w:left w:val="single" w:color="auto" w:sz="8" w:space="0"/>
              <w:bottom w:val="single" w:color="auto" w:sz="8" w:space="0"/>
              <w:right w:val="single" w:color="auto" w:sz="4" w:space="0"/>
            </w:tcBorders>
            <w:shd w:val="clear" w:color="auto" w:fill="auto"/>
            <w:vAlign w:val="center"/>
          </w:tcPr>
          <w:p w14:paraId="28D55A11">
            <w:pPr>
              <w:adjustRightInd/>
              <w:spacing w:line="240" w:lineRule="auto"/>
              <w:jc w:val="center"/>
              <w:rPr>
                <w:rFonts w:ascii="宋体" w:hAnsi="宋体"/>
                <w:sz w:val="18"/>
                <w:szCs w:val="18"/>
              </w:rPr>
            </w:pPr>
            <w:r>
              <w:rPr>
                <w:rFonts w:hint="eastAsia" w:ascii="宋体" w:hAnsi="宋体"/>
                <w:sz w:val="18"/>
                <w:szCs w:val="18"/>
              </w:rPr>
              <w:t>病、虫害名称</w:t>
            </w:r>
          </w:p>
        </w:tc>
        <w:tc>
          <w:tcPr>
            <w:tcW w:w="1865" w:type="dxa"/>
            <w:tcBorders>
              <w:top w:val="single" w:color="auto" w:sz="8" w:space="0"/>
              <w:left w:val="single" w:color="auto" w:sz="4" w:space="0"/>
              <w:bottom w:val="single" w:color="auto" w:sz="8" w:space="0"/>
              <w:right w:val="single" w:color="auto" w:sz="4" w:space="0"/>
            </w:tcBorders>
            <w:shd w:val="clear" w:color="auto" w:fill="auto"/>
            <w:vAlign w:val="center"/>
          </w:tcPr>
          <w:p w14:paraId="0888062C">
            <w:pPr>
              <w:adjustRightInd/>
              <w:spacing w:line="240" w:lineRule="auto"/>
              <w:jc w:val="center"/>
              <w:rPr>
                <w:rFonts w:ascii="宋体" w:hAnsi="宋体"/>
                <w:sz w:val="18"/>
                <w:szCs w:val="18"/>
              </w:rPr>
            </w:pPr>
            <w:r>
              <w:rPr>
                <w:rFonts w:hint="eastAsia" w:ascii="宋体" w:hAnsi="宋体"/>
                <w:sz w:val="18"/>
                <w:szCs w:val="18"/>
              </w:rPr>
              <w:t>防治适期</w:t>
            </w:r>
          </w:p>
        </w:tc>
        <w:tc>
          <w:tcPr>
            <w:tcW w:w="3782" w:type="dxa"/>
            <w:tcBorders>
              <w:top w:val="single" w:color="auto" w:sz="8" w:space="0"/>
              <w:left w:val="single" w:color="auto" w:sz="4" w:space="0"/>
              <w:bottom w:val="single" w:color="auto" w:sz="8" w:space="0"/>
              <w:right w:val="single" w:color="auto" w:sz="4" w:space="0"/>
            </w:tcBorders>
            <w:shd w:val="clear" w:color="auto" w:fill="auto"/>
            <w:vAlign w:val="center"/>
          </w:tcPr>
          <w:p w14:paraId="03C0805B">
            <w:pPr>
              <w:adjustRightInd/>
              <w:spacing w:line="240" w:lineRule="auto"/>
              <w:jc w:val="center"/>
              <w:rPr>
                <w:rFonts w:ascii="宋体" w:hAnsi="宋体"/>
                <w:sz w:val="18"/>
                <w:szCs w:val="18"/>
              </w:rPr>
            </w:pPr>
            <w:r>
              <w:rPr>
                <w:rFonts w:hint="eastAsia" w:ascii="宋体" w:hAnsi="宋体"/>
                <w:sz w:val="18"/>
                <w:szCs w:val="18"/>
              </w:rPr>
              <w:t>农药名称及剂量</w:t>
            </w:r>
          </w:p>
        </w:tc>
        <w:tc>
          <w:tcPr>
            <w:tcW w:w="992" w:type="dxa"/>
            <w:tcBorders>
              <w:top w:val="single" w:color="auto" w:sz="8" w:space="0"/>
              <w:left w:val="single" w:color="auto" w:sz="4" w:space="0"/>
              <w:bottom w:val="single" w:color="auto" w:sz="8" w:space="0"/>
              <w:right w:val="single" w:color="auto" w:sz="4" w:space="0"/>
            </w:tcBorders>
            <w:shd w:val="clear" w:color="auto" w:fill="auto"/>
            <w:vAlign w:val="center"/>
          </w:tcPr>
          <w:p w14:paraId="6A452D63">
            <w:pPr>
              <w:adjustRightInd/>
              <w:spacing w:line="240" w:lineRule="auto"/>
              <w:jc w:val="center"/>
              <w:rPr>
                <w:rFonts w:ascii="宋体" w:hAnsi="宋体"/>
                <w:sz w:val="18"/>
                <w:szCs w:val="18"/>
              </w:rPr>
            </w:pPr>
            <w:r>
              <w:rPr>
                <w:rFonts w:hint="eastAsia" w:ascii="宋体" w:hAnsi="宋体"/>
                <w:sz w:val="18"/>
                <w:szCs w:val="18"/>
              </w:rPr>
              <w:t>使用方法</w:t>
            </w:r>
          </w:p>
        </w:tc>
        <w:tc>
          <w:tcPr>
            <w:tcW w:w="1134" w:type="dxa"/>
            <w:tcBorders>
              <w:top w:val="single" w:color="auto" w:sz="8" w:space="0"/>
              <w:left w:val="single" w:color="auto" w:sz="4" w:space="0"/>
              <w:bottom w:val="single" w:color="auto" w:sz="8" w:space="0"/>
              <w:right w:val="single" w:color="auto" w:sz="8" w:space="0"/>
            </w:tcBorders>
            <w:shd w:val="clear" w:color="auto" w:fill="auto"/>
            <w:vAlign w:val="center"/>
          </w:tcPr>
          <w:p w14:paraId="1635350D">
            <w:pPr>
              <w:adjustRightInd/>
              <w:spacing w:line="240" w:lineRule="auto"/>
              <w:jc w:val="center"/>
              <w:rPr>
                <w:rFonts w:ascii="宋体" w:hAnsi="宋体"/>
                <w:sz w:val="18"/>
                <w:szCs w:val="18"/>
              </w:rPr>
            </w:pPr>
            <w:r>
              <w:rPr>
                <w:rFonts w:hint="eastAsia" w:ascii="宋体" w:hAnsi="宋体"/>
                <w:sz w:val="18"/>
                <w:szCs w:val="18"/>
              </w:rPr>
              <w:t>生长季最多施药次数</w:t>
            </w:r>
          </w:p>
        </w:tc>
      </w:tr>
      <w:tr w14:paraId="1CE57C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restart"/>
            <w:tcBorders>
              <w:top w:val="nil"/>
              <w:left w:val="single" w:color="auto" w:sz="8" w:space="0"/>
              <w:bottom w:val="single" w:color="auto" w:sz="4" w:space="0"/>
              <w:right w:val="single" w:color="auto" w:sz="4" w:space="0"/>
            </w:tcBorders>
            <w:shd w:val="clear" w:color="auto" w:fill="auto"/>
            <w:vAlign w:val="center"/>
          </w:tcPr>
          <w:p w14:paraId="11366044">
            <w:pPr>
              <w:adjustRightInd/>
              <w:spacing w:line="240" w:lineRule="auto"/>
              <w:jc w:val="center"/>
              <w:rPr>
                <w:rFonts w:ascii="宋体" w:hAnsi="宋体"/>
                <w:sz w:val="18"/>
                <w:szCs w:val="18"/>
              </w:rPr>
            </w:pPr>
            <w:r>
              <w:rPr>
                <w:rFonts w:hint="eastAsia" w:ascii="宋体" w:hAnsi="宋体"/>
                <w:sz w:val="18"/>
                <w:szCs w:val="18"/>
              </w:rPr>
              <w:t>核桃黑斑病</w:t>
            </w:r>
          </w:p>
        </w:tc>
        <w:tc>
          <w:tcPr>
            <w:tcW w:w="1865" w:type="dxa"/>
            <w:vMerge w:val="restart"/>
            <w:tcBorders>
              <w:top w:val="nil"/>
              <w:left w:val="single" w:color="auto" w:sz="4" w:space="0"/>
              <w:bottom w:val="single" w:color="auto" w:sz="4" w:space="0"/>
              <w:right w:val="single" w:color="auto" w:sz="4" w:space="0"/>
            </w:tcBorders>
            <w:shd w:val="clear" w:color="auto" w:fill="auto"/>
            <w:vAlign w:val="center"/>
          </w:tcPr>
          <w:p w14:paraId="3F2B0ADD">
            <w:pPr>
              <w:adjustRightInd/>
              <w:spacing w:line="240" w:lineRule="auto"/>
              <w:jc w:val="center"/>
              <w:rPr>
                <w:rFonts w:ascii="宋体" w:hAnsi="宋体"/>
                <w:sz w:val="18"/>
                <w:szCs w:val="18"/>
              </w:rPr>
            </w:pPr>
            <w:r>
              <w:rPr>
                <w:rFonts w:hint="eastAsia" w:ascii="宋体" w:hAnsi="宋体"/>
                <w:sz w:val="18"/>
                <w:szCs w:val="18"/>
              </w:rPr>
              <w:t>发芽前</w:t>
            </w:r>
          </w:p>
        </w:tc>
        <w:tc>
          <w:tcPr>
            <w:tcW w:w="3782" w:type="dxa"/>
            <w:tcBorders>
              <w:top w:val="single" w:color="auto" w:sz="8" w:space="0"/>
              <w:left w:val="single" w:color="auto" w:sz="4" w:space="0"/>
              <w:bottom w:val="single" w:color="auto" w:sz="4" w:space="0"/>
              <w:right w:val="single" w:color="auto" w:sz="4" w:space="0"/>
            </w:tcBorders>
            <w:shd w:val="clear" w:color="auto" w:fill="auto"/>
            <w:vAlign w:val="center"/>
          </w:tcPr>
          <w:p w14:paraId="6C21F9C2">
            <w:pPr>
              <w:adjustRightInd/>
              <w:spacing w:line="240" w:lineRule="auto"/>
              <w:jc w:val="center"/>
              <w:rPr>
                <w:rFonts w:ascii="宋体" w:hAnsi="宋体"/>
                <w:sz w:val="18"/>
                <w:szCs w:val="18"/>
              </w:rPr>
            </w:pPr>
            <w:r>
              <w:rPr>
                <w:rFonts w:hint="eastAsia" w:ascii="宋体" w:hAnsi="宋体"/>
                <w:sz w:val="18"/>
                <w:szCs w:val="18"/>
              </w:rPr>
              <w:t>50%多菌灵可湿性粉剂1 000倍</w:t>
            </w: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631D83CA">
            <w:pPr>
              <w:adjustRightInd/>
              <w:spacing w:line="240" w:lineRule="auto"/>
              <w:jc w:val="center"/>
              <w:rPr>
                <w:rFonts w:ascii="宋体" w:hAnsi="宋体"/>
                <w:sz w:val="18"/>
                <w:szCs w:val="18"/>
              </w:rPr>
            </w:pPr>
            <w:r>
              <w:rPr>
                <w:rFonts w:hint="eastAsia" w:ascii="宋体" w:hAnsi="宋体"/>
                <w:sz w:val="18"/>
                <w:szCs w:val="18"/>
              </w:rPr>
              <w:t>喷雾</w:t>
            </w:r>
          </w:p>
        </w:tc>
        <w:tc>
          <w:tcPr>
            <w:tcW w:w="1134" w:type="dxa"/>
            <w:vMerge w:val="restart"/>
            <w:tcBorders>
              <w:top w:val="nil"/>
              <w:left w:val="single" w:color="auto" w:sz="4" w:space="0"/>
              <w:bottom w:val="single" w:color="auto" w:sz="4" w:space="0"/>
              <w:right w:val="single" w:color="auto" w:sz="8" w:space="0"/>
            </w:tcBorders>
            <w:shd w:val="clear" w:color="auto" w:fill="auto"/>
            <w:vAlign w:val="center"/>
          </w:tcPr>
          <w:p w14:paraId="0721D8FB">
            <w:pPr>
              <w:adjustRightInd/>
              <w:spacing w:line="240" w:lineRule="auto"/>
              <w:jc w:val="center"/>
              <w:rPr>
                <w:rFonts w:ascii="宋体" w:hAnsi="宋体"/>
                <w:sz w:val="18"/>
                <w:szCs w:val="18"/>
              </w:rPr>
            </w:pPr>
            <w:r>
              <w:rPr>
                <w:rFonts w:hint="eastAsia" w:ascii="宋体" w:hAnsi="宋体"/>
                <w:sz w:val="18"/>
                <w:szCs w:val="18"/>
              </w:rPr>
              <w:t>1</w:t>
            </w:r>
          </w:p>
        </w:tc>
      </w:tr>
      <w:tr w14:paraId="6111E3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top w:val="nil"/>
              <w:left w:val="single" w:color="auto" w:sz="8" w:space="0"/>
              <w:bottom w:val="single" w:color="auto" w:sz="4" w:space="0"/>
              <w:right w:val="single" w:color="auto" w:sz="4" w:space="0"/>
            </w:tcBorders>
            <w:shd w:val="clear" w:color="auto" w:fill="auto"/>
            <w:vAlign w:val="center"/>
          </w:tcPr>
          <w:p w14:paraId="4B1BFF09">
            <w:pPr>
              <w:widowControl/>
              <w:adjustRightInd/>
              <w:spacing w:line="240" w:lineRule="auto"/>
              <w:jc w:val="left"/>
              <w:rPr>
                <w:rFonts w:ascii="宋体" w:hAnsi="宋体"/>
                <w:sz w:val="18"/>
                <w:szCs w:val="18"/>
              </w:rPr>
            </w:pPr>
          </w:p>
        </w:tc>
        <w:tc>
          <w:tcPr>
            <w:tcW w:w="1865" w:type="dxa"/>
            <w:vMerge w:val="continue"/>
            <w:tcBorders>
              <w:top w:val="nil"/>
              <w:left w:val="single" w:color="auto" w:sz="4" w:space="0"/>
              <w:bottom w:val="single" w:color="auto" w:sz="4" w:space="0"/>
              <w:right w:val="single" w:color="auto" w:sz="4" w:space="0"/>
            </w:tcBorders>
            <w:shd w:val="clear" w:color="auto" w:fill="auto"/>
            <w:vAlign w:val="center"/>
          </w:tcPr>
          <w:p w14:paraId="35B42157">
            <w:pPr>
              <w:widowControl/>
              <w:adjustRightInd/>
              <w:spacing w:line="240" w:lineRule="auto"/>
              <w:jc w:val="left"/>
              <w:rPr>
                <w:rFonts w:ascii="宋体" w:hAnsi="宋体"/>
                <w:sz w:val="18"/>
                <w:szCs w:val="18"/>
              </w:rPr>
            </w:pPr>
          </w:p>
        </w:tc>
        <w:tc>
          <w:tcPr>
            <w:tcW w:w="3782" w:type="dxa"/>
            <w:tcBorders>
              <w:top w:val="single" w:color="auto" w:sz="8" w:space="0"/>
              <w:left w:val="single" w:color="auto" w:sz="4" w:space="0"/>
              <w:bottom w:val="single" w:color="auto" w:sz="4" w:space="0"/>
              <w:right w:val="single" w:color="auto" w:sz="4" w:space="0"/>
            </w:tcBorders>
            <w:shd w:val="clear" w:color="auto" w:fill="auto"/>
            <w:vAlign w:val="center"/>
          </w:tcPr>
          <w:p w14:paraId="09F4B522">
            <w:pPr>
              <w:adjustRightInd/>
              <w:spacing w:line="240" w:lineRule="auto"/>
              <w:jc w:val="center"/>
              <w:rPr>
                <w:rFonts w:ascii="宋体" w:hAnsi="宋体"/>
                <w:sz w:val="18"/>
                <w:szCs w:val="18"/>
              </w:rPr>
            </w:pPr>
            <w:r>
              <w:rPr>
                <w:rFonts w:hint="eastAsia" w:ascii="宋体" w:hAnsi="宋体"/>
                <w:sz w:val="18"/>
                <w:szCs w:val="18"/>
              </w:rPr>
              <w:t>5 Be～10 Be石硫合剂</w:t>
            </w:r>
          </w:p>
        </w:tc>
        <w:tc>
          <w:tcPr>
            <w:tcW w:w="992" w:type="dxa"/>
            <w:vMerge w:val="continue"/>
            <w:tcBorders>
              <w:top w:val="nil"/>
              <w:left w:val="single" w:color="auto" w:sz="4" w:space="0"/>
              <w:bottom w:val="single" w:color="auto" w:sz="4" w:space="0"/>
              <w:right w:val="single" w:color="auto" w:sz="4" w:space="0"/>
            </w:tcBorders>
            <w:shd w:val="clear" w:color="auto" w:fill="auto"/>
            <w:vAlign w:val="center"/>
          </w:tcPr>
          <w:p w14:paraId="108FF24C">
            <w:pPr>
              <w:widowControl/>
              <w:adjustRightInd/>
              <w:spacing w:line="240" w:lineRule="auto"/>
              <w:jc w:val="left"/>
              <w:rPr>
                <w:rFonts w:ascii="宋体" w:hAnsi="宋体"/>
                <w:sz w:val="18"/>
                <w:szCs w:val="18"/>
              </w:rPr>
            </w:pPr>
          </w:p>
        </w:tc>
        <w:tc>
          <w:tcPr>
            <w:tcW w:w="1134" w:type="dxa"/>
            <w:vMerge w:val="continue"/>
            <w:tcBorders>
              <w:top w:val="nil"/>
              <w:left w:val="single" w:color="auto" w:sz="4" w:space="0"/>
              <w:bottom w:val="single" w:color="auto" w:sz="4" w:space="0"/>
              <w:right w:val="single" w:color="auto" w:sz="8" w:space="0"/>
            </w:tcBorders>
            <w:shd w:val="clear" w:color="auto" w:fill="auto"/>
            <w:vAlign w:val="center"/>
          </w:tcPr>
          <w:p w14:paraId="763D507E">
            <w:pPr>
              <w:widowControl/>
              <w:adjustRightInd/>
              <w:spacing w:line="240" w:lineRule="auto"/>
              <w:jc w:val="left"/>
              <w:rPr>
                <w:rFonts w:ascii="宋体" w:hAnsi="宋体"/>
                <w:sz w:val="18"/>
                <w:szCs w:val="18"/>
              </w:rPr>
            </w:pPr>
          </w:p>
        </w:tc>
      </w:tr>
      <w:tr w14:paraId="52B15B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top w:val="nil"/>
              <w:left w:val="single" w:color="auto" w:sz="8" w:space="0"/>
              <w:bottom w:val="single" w:color="auto" w:sz="4" w:space="0"/>
              <w:right w:val="single" w:color="auto" w:sz="4" w:space="0"/>
            </w:tcBorders>
            <w:shd w:val="clear" w:color="auto" w:fill="auto"/>
            <w:vAlign w:val="center"/>
          </w:tcPr>
          <w:p w14:paraId="28BB2900">
            <w:pPr>
              <w:widowControl/>
              <w:adjustRightInd/>
              <w:spacing w:line="240" w:lineRule="auto"/>
              <w:jc w:val="left"/>
              <w:rPr>
                <w:rFonts w:ascii="宋体" w:hAnsi="宋体"/>
                <w:sz w:val="18"/>
                <w:szCs w:val="18"/>
              </w:rPr>
            </w:pPr>
          </w:p>
        </w:tc>
        <w:tc>
          <w:tcPr>
            <w:tcW w:w="18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0D0D89">
            <w:pPr>
              <w:adjustRightInd/>
              <w:spacing w:line="240" w:lineRule="auto"/>
              <w:jc w:val="center"/>
              <w:rPr>
                <w:rFonts w:ascii="宋体" w:hAnsi="宋体"/>
                <w:sz w:val="18"/>
                <w:szCs w:val="18"/>
              </w:rPr>
            </w:pPr>
            <w:r>
              <w:rPr>
                <w:rFonts w:hint="eastAsia" w:ascii="宋体" w:hAnsi="宋体"/>
                <w:sz w:val="18"/>
                <w:szCs w:val="18"/>
              </w:rPr>
              <w:t>核桃开花前，幼果期，果实迅速生长期</w:t>
            </w:r>
          </w:p>
        </w:tc>
        <w:tc>
          <w:tcPr>
            <w:tcW w:w="3782" w:type="dxa"/>
            <w:tcBorders>
              <w:top w:val="single" w:color="auto" w:sz="4" w:space="0"/>
              <w:left w:val="single" w:color="auto" w:sz="4" w:space="0"/>
              <w:bottom w:val="single" w:color="auto" w:sz="8" w:space="0"/>
              <w:right w:val="single" w:color="auto" w:sz="4" w:space="0"/>
            </w:tcBorders>
            <w:shd w:val="clear" w:color="auto" w:fill="auto"/>
            <w:vAlign w:val="center"/>
          </w:tcPr>
          <w:p w14:paraId="465829F2">
            <w:pPr>
              <w:adjustRightInd/>
              <w:spacing w:line="240" w:lineRule="auto"/>
              <w:jc w:val="center"/>
              <w:rPr>
                <w:rFonts w:ascii="宋体" w:hAnsi="宋体"/>
                <w:sz w:val="18"/>
                <w:szCs w:val="18"/>
              </w:rPr>
            </w:pPr>
            <w:r>
              <w:rPr>
                <w:rFonts w:hint="eastAsia" w:ascii="宋体" w:hAnsi="宋体"/>
                <w:sz w:val="18"/>
                <w:szCs w:val="18"/>
              </w:rPr>
              <w:t>75%百菌清可湿性粉剂600倍液，</w:t>
            </w:r>
          </w:p>
        </w:tc>
        <w:tc>
          <w:tcPr>
            <w:tcW w:w="992" w:type="dxa"/>
            <w:vMerge w:val="continue"/>
            <w:tcBorders>
              <w:top w:val="nil"/>
              <w:left w:val="single" w:color="auto" w:sz="4" w:space="0"/>
              <w:bottom w:val="single" w:color="auto" w:sz="4" w:space="0"/>
              <w:right w:val="single" w:color="auto" w:sz="4" w:space="0"/>
            </w:tcBorders>
            <w:shd w:val="clear" w:color="auto" w:fill="auto"/>
            <w:vAlign w:val="center"/>
          </w:tcPr>
          <w:p w14:paraId="50B7834B">
            <w:pPr>
              <w:widowControl/>
              <w:adjustRightInd/>
              <w:spacing w:line="240" w:lineRule="auto"/>
              <w:jc w:val="left"/>
              <w:rPr>
                <w:rFonts w:ascii="宋体" w:hAnsi="宋体"/>
                <w:sz w:val="18"/>
                <w:szCs w:val="18"/>
              </w:rPr>
            </w:pPr>
          </w:p>
        </w:tc>
        <w:tc>
          <w:tcPr>
            <w:tcW w:w="1134" w:type="dxa"/>
            <w:vMerge w:val="restart"/>
            <w:tcBorders>
              <w:top w:val="single" w:color="auto" w:sz="4" w:space="0"/>
              <w:left w:val="single" w:color="auto" w:sz="4" w:space="0"/>
              <w:bottom w:val="single" w:color="auto" w:sz="4" w:space="0"/>
              <w:right w:val="single" w:color="auto" w:sz="8" w:space="0"/>
            </w:tcBorders>
            <w:shd w:val="clear" w:color="auto" w:fill="auto"/>
            <w:vAlign w:val="center"/>
          </w:tcPr>
          <w:p w14:paraId="1352A9A7">
            <w:pPr>
              <w:adjustRightInd/>
              <w:spacing w:line="240" w:lineRule="auto"/>
              <w:ind w:firstLine="270" w:firstLineChars="150"/>
              <w:rPr>
                <w:rFonts w:ascii="宋体" w:hAnsi="宋体"/>
                <w:sz w:val="18"/>
                <w:szCs w:val="18"/>
              </w:rPr>
            </w:pPr>
            <w:r>
              <w:rPr>
                <w:rFonts w:hint="eastAsia" w:ascii="宋体" w:hAnsi="宋体"/>
                <w:sz w:val="18"/>
                <w:szCs w:val="18"/>
              </w:rPr>
              <w:t>2～3</w:t>
            </w:r>
          </w:p>
        </w:tc>
      </w:tr>
      <w:tr w14:paraId="737A23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top w:val="nil"/>
              <w:left w:val="single" w:color="auto" w:sz="8" w:space="0"/>
              <w:bottom w:val="single" w:color="auto" w:sz="4" w:space="0"/>
              <w:right w:val="single" w:color="auto" w:sz="4" w:space="0"/>
            </w:tcBorders>
            <w:shd w:val="clear" w:color="auto" w:fill="auto"/>
            <w:vAlign w:val="center"/>
          </w:tcPr>
          <w:p w14:paraId="33E555EC">
            <w:pPr>
              <w:widowControl/>
              <w:adjustRightInd/>
              <w:spacing w:line="240" w:lineRule="auto"/>
              <w:jc w:val="left"/>
              <w:rPr>
                <w:rFonts w:ascii="宋体" w:hAnsi="宋体"/>
                <w:sz w:val="18"/>
                <w:szCs w:val="18"/>
              </w:rPr>
            </w:pPr>
          </w:p>
        </w:tc>
        <w:tc>
          <w:tcPr>
            <w:tcW w:w="18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E3B1EB5">
            <w:pPr>
              <w:widowControl/>
              <w:adjustRightInd/>
              <w:spacing w:line="240" w:lineRule="auto"/>
              <w:jc w:val="left"/>
              <w:rPr>
                <w:rFonts w:ascii="宋体" w:hAnsi="宋体"/>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14:paraId="0321B7C5">
            <w:pPr>
              <w:adjustRightInd/>
              <w:spacing w:line="240" w:lineRule="auto"/>
              <w:jc w:val="center"/>
              <w:rPr>
                <w:rFonts w:ascii="宋体" w:hAnsi="宋体"/>
                <w:sz w:val="18"/>
                <w:szCs w:val="18"/>
              </w:rPr>
            </w:pPr>
            <w:r>
              <w:rPr>
                <w:rFonts w:hint="eastAsia" w:ascii="宋体" w:hAnsi="宋体"/>
                <w:sz w:val="18"/>
                <w:szCs w:val="18"/>
              </w:rPr>
              <w:t>50%甲基托布津可湿性粉剂500倍～1 000倍液</w:t>
            </w:r>
          </w:p>
        </w:tc>
        <w:tc>
          <w:tcPr>
            <w:tcW w:w="992" w:type="dxa"/>
            <w:vMerge w:val="continue"/>
            <w:tcBorders>
              <w:top w:val="nil"/>
              <w:left w:val="single" w:color="auto" w:sz="4" w:space="0"/>
              <w:bottom w:val="single" w:color="auto" w:sz="4" w:space="0"/>
              <w:right w:val="single" w:color="auto" w:sz="4" w:space="0"/>
            </w:tcBorders>
            <w:shd w:val="clear" w:color="auto" w:fill="auto"/>
            <w:vAlign w:val="center"/>
          </w:tcPr>
          <w:p w14:paraId="6A05DF76">
            <w:pPr>
              <w:widowControl/>
              <w:adjustRightInd/>
              <w:spacing w:line="240" w:lineRule="auto"/>
              <w:jc w:val="left"/>
              <w:rPr>
                <w:rFonts w:ascii="宋体" w:hAnsi="宋体"/>
                <w:sz w:val="18"/>
                <w:szCs w:val="18"/>
              </w:rPr>
            </w:pPr>
          </w:p>
        </w:tc>
        <w:tc>
          <w:tcPr>
            <w:tcW w:w="1134" w:type="dxa"/>
            <w:vMerge w:val="continue"/>
            <w:tcBorders>
              <w:top w:val="single" w:color="auto" w:sz="4" w:space="0"/>
              <w:left w:val="single" w:color="auto" w:sz="4" w:space="0"/>
              <w:bottom w:val="single" w:color="auto" w:sz="4" w:space="0"/>
              <w:right w:val="single" w:color="auto" w:sz="8" w:space="0"/>
            </w:tcBorders>
            <w:shd w:val="clear" w:color="auto" w:fill="auto"/>
            <w:vAlign w:val="center"/>
          </w:tcPr>
          <w:p w14:paraId="58590947">
            <w:pPr>
              <w:widowControl/>
              <w:adjustRightInd/>
              <w:spacing w:line="240" w:lineRule="auto"/>
              <w:jc w:val="left"/>
              <w:rPr>
                <w:rFonts w:ascii="宋体" w:hAnsi="宋体"/>
                <w:sz w:val="18"/>
                <w:szCs w:val="18"/>
              </w:rPr>
            </w:pPr>
          </w:p>
        </w:tc>
      </w:tr>
      <w:tr w14:paraId="409FC7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279ABAB6">
            <w:pPr>
              <w:adjustRightInd/>
              <w:spacing w:line="240" w:lineRule="auto"/>
              <w:jc w:val="center"/>
              <w:rPr>
                <w:rFonts w:ascii="宋体" w:hAnsi="宋体"/>
                <w:sz w:val="18"/>
                <w:szCs w:val="18"/>
              </w:rPr>
            </w:pPr>
            <w:r>
              <w:fldChar w:fldCharType="begin"/>
            </w:r>
            <w:r>
              <w:instrText xml:space="preserve"> HYPERLINK "https://www.baidu.com/s?wd=%E6%A0%B8%E6%A1%83%E6%9E%9D%E6%9E%AF%E7%97%85&amp;tn=44039180_cpr&amp;fenlei=mv6quAkxTZn0IZRqIHckPjm4nH00T1Y1uWP9nym1nHRdnWwBPvfY0ZwV5Hcvrjm3rH6sPfKWUMw85HfYnjn4nH6sgvPsT6KdThsqpZwYTjCEQLGCpyw9Uz4Bmy-bIi4WUvYETgN-TLwGUv3EnHn4rjR4PWbL" </w:instrText>
            </w:r>
            <w:r>
              <w:fldChar w:fldCharType="separate"/>
            </w:r>
            <w:r>
              <w:rPr>
                <w:rFonts w:ascii="宋体" w:hAnsi="宋体"/>
                <w:color w:val="000000" w:themeColor="text1"/>
                <w:sz w:val="18"/>
                <w:szCs w:val="18"/>
                <w14:textFill>
                  <w14:solidFill>
                    <w14:schemeClr w14:val="tx1"/>
                  </w14:solidFill>
                </w14:textFill>
              </w:rPr>
              <w:t>核桃枝枯病</w:t>
            </w:r>
            <w:r>
              <w:rPr>
                <w:rFonts w:ascii="宋体" w:hAnsi="宋体"/>
                <w:color w:val="000000" w:themeColor="text1"/>
                <w:sz w:val="18"/>
                <w:szCs w:val="18"/>
                <w14:textFill>
                  <w14:solidFill>
                    <w14:schemeClr w14:val="tx1"/>
                  </w14:solidFill>
                </w14:textFill>
              </w:rPr>
              <w:fldChar w:fldCharType="end"/>
            </w:r>
          </w:p>
        </w:tc>
        <w:tc>
          <w:tcPr>
            <w:tcW w:w="18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BE18E7">
            <w:pPr>
              <w:widowControl/>
              <w:autoSpaceDE w:val="0"/>
              <w:autoSpaceDN w:val="0"/>
              <w:adjustRightInd/>
              <w:spacing w:line="240" w:lineRule="auto"/>
              <w:jc w:val="center"/>
              <w:rPr>
                <w:rFonts w:ascii="宋体" w:hAnsi="宋体"/>
                <w:kern w:val="0"/>
                <w:sz w:val="18"/>
                <w:szCs w:val="18"/>
              </w:rPr>
            </w:pPr>
            <w:r>
              <w:rPr>
                <w:rFonts w:hint="eastAsia" w:ascii="宋体" w:hAnsi="宋体"/>
                <w:sz w:val="18"/>
                <w:szCs w:val="18"/>
              </w:rPr>
              <w:t>核桃开花前，幼果期，</w:t>
            </w:r>
            <w:r>
              <w:rPr>
                <w:rFonts w:hint="eastAsia" w:ascii="宋体" w:hAnsi="宋体"/>
                <w:kern w:val="0"/>
                <w:sz w:val="18"/>
                <w:szCs w:val="18"/>
              </w:rPr>
              <w:t>果实迅速生长期</w:t>
            </w: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14:paraId="11BEDEE7">
            <w:pPr>
              <w:adjustRightInd/>
              <w:spacing w:line="240" w:lineRule="auto"/>
              <w:jc w:val="center"/>
              <w:rPr>
                <w:rFonts w:ascii="宋体" w:hAnsi="宋体"/>
                <w:sz w:val="18"/>
                <w:szCs w:val="18"/>
              </w:rPr>
            </w:pPr>
            <w:r>
              <w:rPr>
                <w:rFonts w:hint="eastAsia" w:ascii="宋体" w:hAnsi="宋体"/>
                <w:color w:val="333333"/>
                <w:sz w:val="18"/>
                <w:szCs w:val="18"/>
              </w:rPr>
              <w:t>用1％硫酸铜</w:t>
            </w:r>
          </w:p>
        </w:tc>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DB2814">
            <w:pPr>
              <w:adjustRightInd/>
              <w:spacing w:line="240" w:lineRule="auto"/>
              <w:jc w:val="center"/>
              <w:rPr>
                <w:rFonts w:ascii="宋体" w:hAnsi="宋体"/>
                <w:sz w:val="18"/>
                <w:szCs w:val="18"/>
              </w:rPr>
            </w:pPr>
            <w:r>
              <w:rPr>
                <w:rFonts w:hint="eastAsia" w:ascii="宋体" w:hAnsi="宋体"/>
                <w:sz w:val="18"/>
                <w:szCs w:val="18"/>
              </w:rPr>
              <w:t>涂抹</w:t>
            </w:r>
          </w:p>
          <w:p w14:paraId="0928D42E">
            <w:pPr>
              <w:adjustRightInd/>
              <w:spacing w:line="240" w:lineRule="auto"/>
              <w:jc w:val="center"/>
              <w:rPr>
                <w:rFonts w:ascii="宋体" w:hAnsi="宋体"/>
                <w:sz w:val="18"/>
                <w:szCs w:val="18"/>
              </w:rPr>
            </w:pPr>
            <w:r>
              <w:rPr>
                <w:rFonts w:hint="eastAsia" w:ascii="宋体" w:hAnsi="宋体"/>
                <w:sz w:val="18"/>
                <w:szCs w:val="18"/>
              </w:rPr>
              <w:t>病疤</w:t>
            </w:r>
          </w:p>
        </w:tc>
        <w:tc>
          <w:tcPr>
            <w:tcW w:w="1134" w:type="dxa"/>
            <w:vMerge w:val="restart"/>
            <w:tcBorders>
              <w:top w:val="single" w:color="auto" w:sz="4" w:space="0"/>
              <w:left w:val="single" w:color="auto" w:sz="4" w:space="0"/>
              <w:bottom w:val="single" w:color="auto" w:sz="4" w:space="0"/>
              <w:right w:val="single" w:color="auto" w:sz="8" w:space="0"/>
            </w:tcBorders>
            <w:shd w:val="clear" w:color="auto" w:fill="auto"/>
            <w:vAlign w:val="center"/>
          </w:tcPr>
          <w:p w14:paraId="1D00000E">
            <w:pPr>
              <w:adjustRightInd/>
              <w:spacing w:line="240" w:lineRule="auto"/>
              <w:jc w:val="center"/>
              <w:rPr>
                <w:rFonts w:ascii="宋体" w:hAnsi="宋体"/>
                <w:sz w:val="18"/>
                <w:szCs w:val="18"/>
              </w:rPr>
            </w:pPr>
            <w:r>
              <w:rPr>
                <w:rFonts w:hint="eastAsia" w:ascii="宋体" w:hAnsi="宋体"/>
                <w:sz w:val="18"/>
                <w:szCs w:val="18"/>
              </w:rPr>
              <w:t>1</w:t>
            </w:r>
          </w:p>
        </w:tc>
      </w:tr>
      <w:tr w14:paraId="332248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0F7855D1">
            <w:pPr>
              <w:widowControl/>
              <w:adjustRightInd/>
              <w:spacing w:line="240" w:lineRule="auto"/>
              <w:jc w:val="left"/>
              <w:rPr>
                <w:rFonts w:ascii="宋体" w:hAnsi="宋体"/>
                <w:sz w:val="18"/>
                <w:szCs w:val="18"/>
              </w:rPr>
            </w:pPr>
          </w:p>
        </w:tc>
        <w:tc>
          <w:tcPr>
            <w:tcW w:w="18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01C559C">
            <w:pPr>
              <w:widowControl/>
              <w:adjustRightInd/>
              <w:spacing w:line="240" w:lineRule="auto"/>
              <w:jc w:val="left"/>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14:paraId="666BEF20">
            <w:pPr>
              <w:adjustRightInd/>
              <w:spacing w:line="240" w:lineRule="auto"/>
              <w:jc w:val="center"/>
              <w:rPr>
                <w:rFonts w:ascii="宋体" w:hAnsi="宋体"/>
                <w:color w:val="333333"/>
                <w:sz w:val="18"/>
                <w:szCs w:val="18"/>
              </w:rPr>
            </w:pPr>
            <w:r>
              <w:rPr>
                <w:rFonts w:hint="eastAsia" w:ascii="宋体" w:hAnsi="宋体"/>
                <w:color w:val="333333"/>
                <w:sz w:val="18"/>
                <w:szCs w:val="18"/>
              </w:rPr>
              <w:t>50％甲基托布津可湿性粉剂</w:t>
            </w:r>
          </w:p>
        </w:tc>
        <w:tc>
          <w:tcPr>
            <w:tcW w:w="9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25043A">
            <w:pPr>
              <w:widowControl/>
              <w:adjustRightInd/>
              <w:spacing w:line="240" w:lineRule="auto"/>
              <w:jc w:val="left"/>
              <w:rPr>
                <w:rFonts w:ascii="宋体" w:hAnsi="宋体"/>
                <w:sz w:val="18"/>
                <w:szCs w:val="18"/>
              </w:rPr>
            </w:pPr>
          </w:p>
        </w:tc>
        <w:tc>
          <w:tcPr>
            <w:tcW w:w="1134" w:type="dxa"/>
            <w:vMerge w:val="continue"/>
            <w:tcBorders>
              <w:top w:val="single" w:color="auto" w:sz="4" w:space="0"/>
              <w:left w:val="single" w:color="auto" w:sz="4" w:space="0"/>
              <w:bottom w:val="single" w:color="auto" w:sz="4" w:space="0"/>
              <w:right w:val="single" w:color="auto" w:sz="8" w:space="0"/>
            </w:tcBorders>
            <w:shd w:val="clear" w:color="auto" w:fill="auto"/>
            <w:vAlign w:val="center"/>
          </w:tcPr>
          <w:p w14:paraId="1DE77FE1">
            <w:pPr>
              <w:widowControl/>
              <w:adjustRightInd/>
              <w:spacing w:line="240" w:lineRule="auto"/>
              <w:jc w:val="left"/>
              <w:rPr>
                <w:rFonts w:ascii="宋体" w:hAnsi="宋体"/>
                <w:sz w:val="18"/>
                <w:szCs w:val="18"/>
              </w:rPr>
            </w:pPr>
          </w:p>
        </w:tc>
      </w:tr>
      <w:tr w14:paraId="4E3643F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58CED711">
            <w:pPr>
              <w:widowControl/>
              <w:adjustRightInd/>
              <w:spacing w:line="240" w:lineRule="auto"/>
              <w:jc w:val="left"/>
              <w:rPr>
                <w:rFonts w:ascii="宋体" w:hAnsi="宋体"/>
                <w:sz w:val="18"/>
                <w:szCs w:val="18"/>
              </w:rPr>
            </w:pPr>
          </w:p>
        </w:tc>
        <w:tc>
          <w:tcPr>
            <w:tcW w:w="18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5CB3EAF">
            <w:pPr>
              <w:widowControl/>
              <w:adjustRightInd/>
              <w:spacing w:line="240" w:lineRule="auto"/>
              <w:jc w:val="left"/>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14:paraId="64E68092">
            <w:pPr>
              <w:adjustRightInd/>
              <w:spacing w:line="240" w:lineRule="auto"/>
              <w:jc w:val="center"/>
              <w:rPr>
                <w:rFonts w:ascii="宋体" w:hAnsi="宋体"/>
                <w:color w:val="333333"/>
                <w:sz w:val="18"/>
                <w:szCs w:val="18"/>
              </w:rPr>
            </w:pPr>
            <w:r>
              <w:rPr>
                <w:rFonts w:hint="eastAsia" w:ascii="宋体" w:hAnsi="宋体"/>
                <w:color w:val="333333"/>
                <w:sz w:val="18"/>
                <w:szCs w:val="18"/>
              </w:rPr>
              <w:t>70％甲基托布津可湿性粉剂500倍液</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48CD5C43">
            <w:pPr>
              <w:adjustRightInd/>
              <w:spacing w:line="240" w:lineRule="auto"/>
              <w:jc w:val="center"/>
              <w:rPr>
                <w:rFonts w:ascii="宋体" w:hAnsi="宋体"/>
                <w:sz w:val="18"/>
                <w:szCs w:val="18"/>
              </w:rPr>
            </w:pPr>
            <w:r>
              <w:rPr>
                <w:rFonts w:hint="eastAsia" w:ascii="宋体" w:hAnsi="宋体"/>
                <w:sz w:val="18"/>
                <w:szCs w:val="18"/>
              </w:rPr>
              <w:t>喷雾</w:t>
            </w:r>
          </w:p>
        </w:tc>
        <w:tc>
          <w:tcPr>
            <w:tcW w:w="1134" w:type="dxa"/>
            <w:tcBorders>
              <w:top w:val="single" w:color="auto" w:sz="4" w:space="0"/>
              <w:left w:val="single" w:color="auto" w:sz="4" w:space="0"/>
              <w:bottom w:val="single" w:color="auto" w:sz="4" w:space="0"/>
              <w:right w:val="single" w:color="auto" w:sz="8" w:space="0"/>
            </w:tcBorders>
            <w:shd w:val="clear" w:color="auto" w:fill="auto"/>
            <w:vAlign w:val="center"/>
          </w:tcPr>
          <w:p w14:paraId="4A77BE85">
            <w:pPr>
              <w:adjustRightInd/>
              <w:spacing w:line="240" w:lineRule="auto"/>
              <w:jc w:val="center"/>
              <w:rPr>
                <w:rFonts w:ascii="宋体" w:hAnsi="宋体"/>
                <w:sz w:val="18"/>
                <w:szCs w:val="18"/>
              </w:rPr>
            </w:pPr>
            <w:r>
              <w:rPr>
                <w:rFonts w:hint="eastAsia" w:ascii="宋体" w:hAnsi="宋体"/>
                <w:sz w:val="18"/>
                <w:szCs w:val="18"/>
              </w:rPr>
              <w:t>2～3</w:t>
            </w:r>
          </w:p>
        </w:tc>
      </w:tr>
      <w:tr w14:paraId="53BDD5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3D4DFF86">
            <w:pPr>
              <w:adjustRightInd/>
              <w:spacing w:line="240" w:lineRule="auto"/>
              <w:jc w:val="center"/>
              <w:rPr>
                <w:rFonts w:ascii="宋体" w:hAnsi="宋体"/>
                <w:sz w:val="18"/>
                <w:szCs w:val="18"/>
              </w:rPr>
            </w:pPr>
            <w:r>
              <w:rPr>
                <w:rFonts w:hint="eastAsia" w:ascii="宋体" w:hAnsi="宋体"/>
                <w:sz w:val="18"/>
                <w:szCs w:val="18"/>
              </w:rPr>
              <w:t>绿豆纹枯病</w:t>
            </w:r>
          </w:p>
        </w:tc>
        <w:tc>
          <w:tcPr>
            <w:tcW w:w="18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95EE56">
            <w:pPr>
              <w:widowControl/>
              <w:autoSpaceDE w:val="0"/>
              <w:autoSpaceDN w:val="0"/>
              <w:adjustRightInd/>
              <w:spacing w:line="240" w:lineRule="auto"/>
              <w:jc w:val="center"/>
              <w:rPr>
                <w:rFonts w:ascii="宋体" w:hAnsi="宋体"/>
                <w:kern w:val="0"/>
                <w:sz w:val="18"/>
                <w:szCs w:val="18"/>
              </w:rPr>
            </w:pPr>
            <w:r>
              <w:rPr>
                <w:rFonts w:hint="eastAsia" w:ascii="宋体" w:hAnsi="宋体"/>
                <w:color w:val="333333"/>
                <w:sz w:val="18"/>
                <w:szCs w:val="18"/>
              </w:rPr>
              <w:t>发病初期</w:t>
            </w: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14:paraId="7D76C0A5">
            <w:pPr>
              <w:adjustRightInd/>
              <w:spacing w:line="240" w:lineRule="auto"/>
              <w:jc w:val="center"/>
              <w:rPr>
                <w:rFonts w:ascii="宋体" w:hAnsi="宋体"/>
                <w:sz w:val="18"/>
                <w:szCs w:val="18"/>
              </w:rPr>
            </w:pPr>
            <w:r>
              <w:rPr>
                <w:rFonts w:hint="eastAsia" w:ascii="宋体" w:hAnsi="宋体"/>
                <w:sz w:val="18"/>
                <w:szCs w:val="18"/>
              </w:rPr>
              <w:t>15%恶霉灵水剂 450 倍液</w:t>
            </w:r>
          </w:p>
        </w:tc>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BD4945">
            <w:pPr>
              <w:adjustRightInd/>
              <w:spacing w:line="240" w:lineRule="auto"/>
              <w:jc w:val="center"/>
              <w:rPr>
                <w:rFonts w:ascii="宋体" w:hAnsi="宋体"/>
                <w:sz w:val="18"/>
                <w:szCs w:val="18"/>
              </w:rPr>
            </w:pPr>
            <w:r>
              <w:rPr>
                <w:rFonts w:hint="eastAsia" w:ascii="宋体" w:hAnsi="宋体"/>
                <w:color w:val="333333"/>
                <w:sz w:val="18"/>
                <w:szCs w:val="18"/>
              </w:rPr>
              <w:t>喷雾</w:t>
            </w:r>
          </w:p>
        </w:tc>
        <w:tc>
          <w:tcPr>
            <w:tcW w:w="1134" w:type="dxa"/>
            <w:vMerge w:val="restart"/>
            <w:tcBorders>
              <w:top w:val="single" w:color="auto" w:sz="4" w:space="0"/>
              <w:left w:val="single" w:color="auto" w:sz="4" w:space="0"/>
              <w:bottom w:val="single" w:color="auto" w:sz="4" w:space="0"/>
              <w:right w:val="single" w:color="auto" w:sz="8" w:space="0"/>
            </w:tcBorders>
            <w:shd w:val="clear" w:color="auto" w:fill="auto"/>
            <w:vAlign w:val="center"/>
          </w:tcPr>
          <w:p w14:paraId="2EB69D8A">
            <w:pPr>
              <w:adjustRightInd/>
              <w:spacing w:line="240" w:lineRule="auto"/>
              <w:jc w:val="center"/>
              <w:rPr>
                <w:rFonts w:ascii="宋体" w:hAnsi="宋体"/>
                <w:sz w:val="18"/>
                <w:szCs w:val="18"/>
              </w:rPr>
            </w:pPr>
            <w:r>
              <w:rPr>
                <w:rFonts w:hint="eastAsia" w:ascii="宋体" w:hAnsi="宋体"/>
                <w:sz w:val="18"/>
                <w:szCs w:val="18"/>
              </w:rPr>
              <w:t>2～3</w:t>
            </w:r>
          </w:p>
        </w:tc>
      </w:tr>
      <w:tr w14:paraId="1E1C8E8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6A4B170B">
            <w:pPr>
              <w:widowControl/>
              <w:adjustRightInd/>
              <w:spacing w:line="240" w:lineRule="auto"/>
              <w:jc w:val="left"/>
              <w:rPr>
                <w:rFonts w:ascii="宋体" w:hAnsi="宋体"/>
                <w:sz w:val="18"/>
                <w:szCs w:val="18"/>
              </w:rPr>
            </w:pPr>
          </w:p>
        </w:tc>
        <w:tc>
          <w:tcPr>
            <w:tcW w:w="18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F6B3EB3">
            <w:pPr>
              <w:widowControl/>
              <w:adjustRightInd/>
              <w:spacing w:line="240" w:lineRule="auto"/>
              <w:jc w:val="left"/>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14:paraId="4014E3A5">
            <w:pPr>
              <w:adjustRightInd/>
              <w:spacing w:line="240" w:lineRule="auto"/>
              <w:jc w:val="center"/>
              <w:rPr>
                <w:rFonts w:ascii="宋体" w:hAnsi="宋体"/>
                <w:sz w:val="18"/>
                <w:szCs w:val="18"/>
              </w:rPr>
            </w:pPr>
            <w:r>
              <w:rPr>
                <w:rFonts w:hint="eastAsia" w:ascii="宋体" w:hAnsi="宋体"/>
                <w:sz w:val="18"/>
                <w:szCs w:val="18"/>
              </w:rPr>
              <w:t>70%甲基托布津可湿性粉剂500倍液</w:t>
            </w:r>
          </w:p>
        </w:tc>
        <w:tc>
          <w:tcPr>
            <w:tcW w:w="9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F965AC">
            <w:pPr>
              <w:widowControl/>
              <w:adjustRightInd/>
              <w:spacing w:line="240" w:lineRule="auto"/>
              <w:jc w:val="left"/>
              <w:rPr>
                <w:rFonts w:ascii="宋体" w:hAnsi="宋体"/>
                <w:sz w:val="18"/>
                <w:szCs w:val="18"/>
              </w:rPr>
            </w:pPr>
          </w:p>
        </w:tc>
        <w:tc>
          <w:tcPr>
            <w:tcW w:w="1134" w:type="dxa"/>
            <w:vMerge w:val="continue"/>
            <w:tcBorders>
              <w:top w:val="single" w:color="auto" w:sz="4" w:space="0"/>
              <w:left w:val="single" w:color="auto" w:sz="4" w:space="0"/>
              <w:bottom w:val="single" w:color="auto" w:sz="4" w:space="0"/>
              <w:right w:val="single" w:color="auto" w:sz="8" w:space="0"/>
            </w:tcBorders>
            <w:shd w:val="clear" w:color="auto" w:fill="auto"/>
            <w:vAlign w:val="center"/>
          </w:tcPr>
          <w:p w14:paraId="780C0B60">
            <w:pPr>
              <w:widowControl/>
              <w:adjustRightInd/>
              <w:spacing w:line="240" w:lineRule="auto"/>
              <w:jc w:val="left"/>
              <w:rPr>
                <w:rFonts w:ascii="宋体" w:hAnsi="宋体"/>
                <w:sz w:val="18"/>
                <w:szCs w:val="18"/>
              </w:rPr>
            </w:pPr>
          </w:p>
        </w:tc>
      </w:tr>
      <w:tr w14:paraId="0CAF9F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1FC5C5E8">
            <w:pPr>
              <w:adjustRightInd/>
              <w:spacing w:line="240" w:lineRule="auto"/>
              <w:jc w:val="center"/>
              <w:rPr>
                <w:rFonts w:ascii="宋体" w:hAnsi="宋体"/>
                <w:sz w:val="18"/>
                <w:szCs w:val="18"/>
              </w:rPr>
            </w:pPr>
            <w:r>
              <w:rPr>
                <w:rFonts w:hint="eastAsia" w:ascii="宋体" w:hAnsi="宋体"/>
                <w:sz w:val="18"/>
                <w:szCs w:val="18"/>
              </w:rPr>
              <w:t>绿豆叶斑病</w:t>
            </w:r>
          </w:p>
        </w:tc>
        <w:tc>
          <w:tcPr>
            <w:tcW w:w="18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23823E">
            <w:pPr>
              <w:widowControl/>
              <w:autoSpaceDE w:val="0"/>
              <w:autoSpaceDN w:val="0"/>
              <w:adjustRightInd/>
              <w:spacing w:line="240" w:lineRule="auto"/>
              <w:jc w:val="center"/>
              <w:rPr>
                <w:rFonts w:ascii="宋体" w:hAnsi="宋体"/>
                <w:kern w:val="0"/>
                <w:sz w:val="18"/>
                <w:szCs w:val="18"/>
              </w:rPr>
            </w:pPr>
            <w:r>
              <w:rPr>
                <w:rFonts w:hint="eastAsia" w:ascii="宋体" w:hAnsi="宋体"/>
                <w:color w:val="333333"/>
                <w:sz w:val="18"/>
                <w:szCs w:val="18"/>
              </w:rPr>
              <w:t>发病初期</w:t>
            </w: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14:paraId="6371CA71">
            <w:pPr>
              <w:adjustRightInd/>
              <w:spacing w:line="240" w:lineRule="auto"/>
              <w:jc w:val="center"/>
              <w:rPr>
                <w:rFonts w:ascii="宋体" w:hAnsi="宋体"/>
                <w:sz w:val="18"/>
                <w:szCs w:val="18"/>
              </w:rPr>
            </w:pPr>
            <w:r>
              <w:rPr>
                <w:rFonts w:hint="eastAsia" w:ascii="宋体" w:hAnsi="宋体"/>
                <w:sz w:val="18"/>
                <w:szCs w:val="18"/>
              </w:rPr>
              <w:t>75%百菌清可湿性粉剂500倍～800倍液</w:t>
            </w:r>
          </w:p>
        </w:tc>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A1136D">
            <w:pPr>
              <w:adjustRightInd/>
              <w:spacing w:line="240" w:lineRule="auto"/>
              <w:jc w:val="center"/>
              <w:rPr>
                <w:rFonts w:ascii="宋体" w:hAnsi="宋体"/>
                <w:sz w:val="18"/>
                <w:szCs w:val="18"/>
              </w:rPr>
            </w:pPr>
            <w:r>
              <w:rPr>
                <w:rFonts w:hint="eastAsia" w:ascii="宋体" w:hAnsi="宋体"/>
                <w:sz w:val="18"/>
                <w:szCs w:val="18"/>
              </w:rPr>
              <w:t>喷雾</w:t>
            </w:r>
          </w:p>
        </w:tc>
        <w:tc>
          <w:tcPr>
            <w:tcW w:w="1134" w:type="dxa"/>
            <w:vMerge w:val="restart"/>
            <w:tcBorders>
              <w:top w:val="single" w:color="auto" w:sz="4" w:space="0"/>
              <w:left w:val="single" w:color="auto" w:sz="4" w:space="0"/>
              <w:bottom w:val="single" w:color="auto" w:sz="4" w:space="0"/>
              <w:right w:val="single" w:color="auto" w:sz="8" w:space="0"/>
            </w:tcBorders>
            <w:shd w:val="clear" w:color="auto" w:fill="auto"/>
            <w:vAlign w:val="center"/>
          </w:tcPr>
          <w:p w14:paraId="777C4E67">
            <w:pPr>
              <w:adjustRightInd/>
              <w:spacing w:line="240" w:lineRule="auto"/>
              <w:jc w:val="center"/>
              <w:rPr>
                <w:rFonts w:ascii="宋体" w:hAnsi="宋体"/>
                <w:sz w:val="18"/>
                <w:szCs w:val="18"/>
              </w:rPr>
            </w:pPr>
            <w:r>
              <w:rPr>
                <w:rFonts w:hint="eastAsia" w:ascii="宋体" w:hAnsi="宋体"/>
                <w:sz w:val="18"/>
                <w:szCs w:val="18"/>
              </w:rPr>
              <w:t>2～3</w:t>
            </w:r>
          </w:p>
        </w:tc>
      </w:tr>
      <w:tr w14:paraId="2401B69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01338E73">
            <w:pPr>
              <w:widowControl/>
              <w:adjustRightInd/>
              <w:spacing w:line="240" w:lineRule="auto"/>
              <w:jc w:val="left"/>
              <w:rPr>
                <w:rFonts w:ascii="宋体" w:hAnsi="宋体"/>
                <w:sz w:val="18"/>
                <w:szCs w:val="18"/>
              </w:rPr>
            </w:pPr>
          </w:p>
        </w:tc>
        <w:tc>
          <w:tcPr>
            <w:tcW w:w="18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5717EDC">
            <w:pPr>
              <w:widowControl/>
              <w:adjustRightInd/>
              <w:spacing w:line="240" w:lineRule="auto"/>
              <w:jc w:val="left"/>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14:paraId="00D3DEA3">
            <w:pPr>
              <w:adjustRightInd/>
              <w:spacing w:line="240" w:lineRule="auto"/>
              <w:jc w:val="center"/>
              <w:rPr>
                <w:rFonts w:ascii="宋体" w:hAnsi="宋体"/>
                <w:sz w:val="18"/>
                <w:szCs w:val="18"/>
              </w:rPr>
            </w:pPr>
            <w:r>
              <w:rPr>
                <w:rFonts w:hint="eastAsia" w:ascii="宋体" w:hAnsi="宋体"/>
                <w:sz w:val="18"/>
                <w:szCs w:val="18"/>
              </w:rPr>
              <w:t>75%代森锰锌可湿性粉剂 600 倍液</w:t>
            </w:r>
          </w:p>
        </w:tc>
        <w:tc>
          <w:tcPr>
            <w:tcW w:w="9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36FB2A">
            <w:pPr>
              <w:widowControl/>
              <w:adjustRightInd/>
              <w:spacing w:line="240" w:lineRule="auto"/>
              <w:jc w:val="left"/>
              <w:rPr>
                <w:rFonts w:ascii="宋体" w:hAnsi="宋体"/>
                <w:sz w:val="18"/>
                <w:szCs w:val="18"/>
              </w:rPr>
            </w:pPr>
          </w:p>
        </w:tc>
        <w:tc>
          <w:tcPr>
            <w:tcW w:w="1134" w:type="dxa"/>
            <w:vMerge w:val="continue"/>
            <w:tcBorders>
              <w:top w:val="single" w:color="auto" w:sz="4" w:space="0"/>
              <w:left w:val="single" w:color="auto" w:sz="4" w:space="0"/>
              <w:bottom w:val="single" w:color="auto" w:sz="4" w:space="0"/>
              <w:right w:val="single" w:color="auto" w:sz="8" w:space="0"/>
            </w:tcBorders>
            <w:shd w:val="clear" w:color="auto" w:fill="auto"/>
            <w:vAlign w:val="center"/>
          </w:tcPr>
          <w:p w14:paraId="64A49239">
            <w:pPr>
              <w:widowControl/>
              <w:adjustRightInd/>
              <w:spacing w:line="240" w:lineRule="auto"/>
              <w:jc w:val="left"/>
              <w:rPr>
                <w:rFonts w:ascii="宋体" w:hAnsi="宋体"/>
                <w:sz w:val="18"/>
                <w:szCs w:val="18"/>
              </w:rPr>
            </w:pPr>
          </w:p>
        </w:tc>
      </w:tr>
      <w:tr w14:paraId="36A37C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14:paraId="53E96E3B">
            <w:pPr>
              <w:adjustRightInd/>
              <w:spacing w:line="240" w:lineRule="auto"/>
              <w:jc w:val="center"/>
              <w:rPr>
                <w:rFonts w:ascii="宋体" w:hAnsi="宋体"/>
                <w:sz w:val="18"/>
                <w:szCs w:val="18"/>
              </w:rPr>
            </w:pPr>
            <w:r>
              <w:rPr>
                <w:rFonts w:hint="eastAsia" w:ascii="宋体" w:hAnsi="宋体"/>
                <w:sz w:val="18"/>
                <w:szCs w:val="18"/>
              </w:rPr>
              <w:t>绿豆白粉病</w:t>
            </w:r>
          </w:p>
        </w:tc>
        <w:tc>
          <w:tcPr>
            <w:tcW w:w="186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8BAB8A">
            <w:pPr>
              <w:widowControl/>
              <w:autoSpaceDE w:val="0"/>
              <w:autoSpaceDN w:val="0"/>
              <w:adjustRightInd/>
              <w:spacing w:line="240" w:lineRule="auto"/>
              <w:jc w:val="center"/>
              <w:rPr>
                <w:rFonts w:ascii="宋体" w:hAnsi="宋体"/>
                <w:kern w:val="0"/>
                <w:sz w:val="18"/>
                <w:szCs w:val="18"/>
              </w:rPr>
            </w:pPr>
            <w:r>
              <w:rPr>
                <w:rFonts w:hint="eastAsia" w:ascii="宋体" w:hAnsi="宋体"/>
                <w:kern w:val="0"/>
                <w:sz w:val="18"/>
                <w:szCs w:val="18"/>
                <w:shd w:val="clear" w:color="auto" w:fill="FFFFFF"/>
              </w:rPr>
              <w:t>发病初期</w:t>
            </w: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14:paraId="05FD80DB">
            <w:pPr>
              <w:adjustRightInd/>
              <w:spacing w:line="240" w:lineRule="auto"/>
              <w:jc w:val="center"/>
              <w:rPr>
                <w:rFonts w:ascii="宋体" w:hAnsi="宋体"/>
                <w:sz w:val="18"/>
                <w:szCs w:val="18"/>
              </w:rPr>
            </w:pPr>
            <w:r>
              <w:rPr>
                <w:rFonts w:hint="eastAsia" w:ascii="宋体" w:hAnsi="宋体"/>
                <w:sz w:val="18"/>
                <w:szCs w:val="18"/>
                <w:shd w:val="clear" w:color="auto" w:fill="FFFFFF"/>
              </w:rPr>
              <w:t>25%</w:t>
            </w:r>
            <w:r>
              <w:rPr>
                <w:rFonts w:hint="eastAsia" w:ascii="宋体" w:hAnsi="宋体"/>
                <w:sz w:val="18"/>
                <w:szCs w:val="18"/>
              </w:rPr>
              <w:t>三唑酮</w:t>
            </w:r>
            <w:r>
              <w:rPr>
                <w:rFonts w:hint="eastAsia" w:ascii="宋体" w:hAnsi="宋体"/>
                <w:sz w:val="18"/>
                <w:szCs w:val="18"/>
                <w:shd w:val="clear" w:color="auto" w:fill="FFFFFF"/>
              </w:rPr>
              <w:t>可湿性粉剂 2 000倍</w:t>
            </w:r>
            <w:r>
              <w:rPr>
                <w:rFonts w:hint="eastAsia" w:ascii="宋体" w:hAnsi="宋体"/>
                <w:sz w:val="18"/>
                <w:szCs w:val="18"/>
              </w:rPr>
              <w:t>～</w:t>
            </w:r>
            <w:r>
              <w:rPr>
                <w:rFonts w:hint="eastAsia" w:ascii="宋体" w:hAnsi="宋体"/>
                <w:sz w:val="18"/>
                <w:szCs w:val="18"/>
                <w:shd w:val="clear" w:color="auto" w:fill="FFFFFF"/>
              </w:rPr>
              <w:t>3 000 倍液</w:t>
            </w:r>
          </w:p>
        </w:tc>
        <w:tc>
          <w:tcPr>
            <w:tcW w:w="9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AD9CC2">
            <w:pPr>
              <w:adjustRightInd/>
              <w:spacing w:line="240" w:lineRule="auto"/>
              <w:jc w:val="center"/>
              <w:rPr>
                <w:rFonts w:ascii="宋体" w:hAnsi="宋体"/>
                <w:sz w:val="18"/>
                <w:szCs w:val="18"/>
              </w:rPr>
            </w:pPr>
            <w:r>
              <w:rPr>
                <w:rFonts w:hint="eastAsia" w:ascii="宋体" w:hAnsi="宋体"/>
                <w:sz w:val="18"/>
                <w:szCs w:val="18"/>
              </w:rPr>
              <w:t>喷雾</w:t>
            </w:r>
          </w:p>
        </w:tc>
        <w:tc>
          <w:tcPr>
            <w:tcW w:w="1134" w:type="dxa"/>
            <w:vMerge w:val="restart"/>
            <w:tcBorders>
              <w:top w:val="single" w:color="auto" w:sz="4" w:space="0"/>
              <w:left w:val="single" w:color="auto" w:sz="4" w:space="0"/>
              <w:bottom w:val="single" w:color="auto" w:sz="4" w:space="0"/>
              <w:right w:val="single" w:color="auto" w:sz="8" w:space="0"/>
            </w:tcBorders>
            <w:shd w:val="clear" w:color="auto" w:fill="auto"/>
            <w:vAlign w:val="center"/>
          </w:tcPr>
          <w:p w14:paraId="5FA70341">
            <w:pPr>
              <w:adjustRightInd/>
              <w:spacing w:line="240" w:lineRule="auto"/>
              <w:jc w:val="center"/>
              <w:rPr>
                <w:rFonts w:ascii="宋体" w:hAnsi="宋体"/>
                <w:sz w:val="18"/>
                <w:szCs w:val="18"/>
              </w:rPr>
            </w:pPr>
            <w:r>
              <w:rPr>
                <w:rFonts w:hint="eastAsia" w:ascii="宋体" w:hAnsi="宋体"/>
                <w:sz w:val="18"/>
                <w:szCs w:val="18"/>
              </w:rPr>
              <w:t>2～3</w:t>
            </w:r>
          </w:p>
        </w:tc>
      </w:tr>
      <w:tr w14:paraId="64B3CD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14:paraId="44023F7A">
            <w:pPr>
              <w:widowControl/>
              <w:adjustRightInd/>
              <w:spacing w:line="240" w:lineRule="auto"/>
              <w:jc w:val="left"/>
              <w:rPr>
                <w:rFonts w:ascii="宋体" w:hAnsi="宋体"/>
                <w:sz w:val="18"/>
                <w:szCs w:val="18"/>
              </w:rPr>
            </w:pPr>
          </w:p>
        </w:tc>
        <w:tc>
          <w:tcPr>
            <w:tcW w:w="186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029FD40">
            <w:pPr>
              <w:widowControl/>
              <w:adjustRightInd/>
              <w:spacing w:line="240" w:lineRule="auto"/>
              <w:jc w:val="left"/>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vAlign w:val="center"/>
          </w:tcPr>
          <w:p w14:paraId="08029B44">
            <w:pPr>
              <w:adjustRightInd/>
              <w:spacing w:line="240" w:lineRule="auto"/>
              <w:jc w:val="center"/>
              <w:rPr>
                <w:rFonts w:ascii="宋体" w:hAnsi="宋体"/>
                <w:sz w:val="18"/>
                <w:szCs w:val="18"/>
              </w:rPr>
            </w:pPr>
            <w:r>
              <w:rPr>
                <w:rFonts w:hint="eastAsia" w:ascii="宋体" w:hAnsi="宋体"/>
                <w:sz w:val="18"/>
                <w:szCs w:val="18"/>
                <w:shd w:val="clear" w:color="auto" w:fill="FFFFFF"/>
              </w:rPr>
              <w:t>50%多菌灵可湿性粉剂500倍液</w:t>
            </w:r>
          </w:p>
        </w:tc>
        <w:tc>
          <w:tcPr>
            <w:tcW w:w="9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0CA78F1">
            <w:pPr>
              <w:widowControl/>
              <w:adjustRightInd/>
              <w:spacing w:line="240" w:lineRule="auto"/>
              <w:jc w:val="left"/>
              <w:rPr>
                <w:rFonts w:ascii="宋体" w:hAnsi="宋体"/>
                <w:sz w:val="18"/>
                <w:szCs w:val="18"/>
              </w:rPr>
            </w:pPr>
          </w:p>
        </w:tc>
        <w:tc>
          <w:tcPr>
            <w:tcW w:w="1134" w:type="dxa"/>
            <w:vMerge w:val="continue"/>
            <w:tcBorders>
              <w:top w:val="single" w:color="auto" w:sz="4" w:space="0"/>
              <w:left w:val="single" w:color="auto" w:sz="4" w:space="0"/>
              <w:bottom w:val="single" w:color="auto" w:sz="4" w:space="0"/>
              <w:right w:val="single" w:color="auto" w:sz="8" w:space="0"/>
            </w:tcBorders>
            <w:shd w:val="clear" w:color="auto" w:fill="auto"/>
            <w:vAlign w:val="center"/>
          </w:tcPr>
          <w:p w14:paraId="04F791BC">
            <w:pPr>
              <w:widowControl/>
              <w:adjustRightInd/>
              <w:spacing w:line="240" w:lineRule="auto"/>
              <w:jc w:val="left"/>
              <w:rPr>
                <w:rFonts w:ascii="宋体" w:hAnsi="宋体"/>
                <w:sz w:val="18"/>
                <w:szCs w:val="18"/>
              </w:rPr>
            </w:pPr>
          </w:p>
        </w:tc>
      </w:tr>
      <w:tr w14:paraId="2F8AFD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restart"/>
            <w:tcBorders>
              <w:top w:val="single" w:color="auto" w:sz="4" w:space="0"/>
              <w:left w:val="single" w:color="auto" w:sz="8" w:space="0"/>
              <w:right w:val="single" w:color="auto" w:sz="4" w:space="0"/>
            </w:tcBorders>
            <w:shd w:val="clear" w:color="auto" w:fill="auto"/>
            <w:vAlign w:val="center"/>
          </w:tcPr>
          <w:p w14:paraId="605766C0">
            <w:pPr>
              <w:widowControl/>
              <w:adjustRightInd/>
              <w:spacing w:line="240" w:lineRule="auto"/>
              <w:jc w:val="center"/>
              <w:rPr>
                <w:rFonts w:ascii="宋体" w:hAnsi="宋体"/>
                <w:sz w:val="18"/>
                <w:szCs w:val="18"/>
              </w:rPr>
            </w:pPr>
            <w:r>
              <w:rPr>
                <w:rFonts w:hint="eastAsia" w:ascii="宋体" w:hAnsi="宋体"/>
                <w:sz w:val="18"/>
                <w:szCs w:val="18"/>
              </w:rPr>
              <w:t>核桃举肢蛾</w:t>
            </w:r>
          </w:p>
        </w:tc>
        <w:tc>
          <w:tcPr>
            <w:tcW w:w="1865" w:type="dxa"/>
            <w:tcBorders>
              <w:top w:val="single" w:color="auto" w:sz="4" w:space="0"/>
              <w:left w:val="single" w:color="auto" w:sz="4" w:space="0"/>
              <w:bottom w:val="single" w:color="auto" w:sz="4" w:space="0"/>
              <w:right w:val="single" w:color="auto" w:sz="4" w:space="0"/>
            </w:tcBorders>
            <w:shd w:val="clear" w:color="auto" w:fill="auto"/>
          </w:tcPr>
          <w:p w14:paraId="1F0B1024">
            <w:pPr>
              <w:widowControl/>
              <w:adjustRightInd/>
              <w:spacing w:line="240" w:lineRule="auto"/>
              <w:jc w:val="center"/>
              <w:rPr>
                <w:rFonts w:ascii="宋体" w:hAnsi="宋体"/>
                <w:kern w:val="0"/>
                <w:sz w:val="18"/>
                <w:szCs w:val="18"/>
              </w:rPr>
            </w:pPr>
            <w:r>
              <w:rPr>
                <w:rFonts w:hint="eastAsia" w:ascii="宋体" w:hAnsi="宋体"/>
                <w:sz w:val="18"/>
                <w:szCs w:val="18"/>
              </w:rPr>
              <w:t>成虫出土前</w:t>
            </w: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46476014">
            <w:pPr>
              <w:adjustRightInd/>
              <w:spacing w:line="240" w:lineRule="auto"/>
              <w:jc w:val="center"/>
              <w:rPr>
                <w:rFonts w:ascii="宋体" w:hAnsi="宋体"/>
                <w:sz w:val="18"/>
                <w:szCs w:val="18"/>
                <w:shd w:val="clear" w:color="auto" w:fill="FFFFFF"/>
              </w:rPr>
            </w:pPr>
            <w:r>
              <w:rPr>
                <w:rFonts w:hint="eastAsia" w:ascii="宋体" w:hAnsi="宋体"/>
                <w:sz w:val="18"/>
                <w:szCs w:val="18"/>
              </w:rPr>
              <w:t>50％辛硫磷乳油300倍液</w:t>
            </w:r>
          </w:p>
        </w:tc>
        <w:tc>
          <w:tcPr>
            <w:tcW w:w="992" w:type="dxa"/>
            <w:tcBorders>
              <w:top w:val="single" w:color="auto" w:sz="4" w:space="0"/>
              <w:left w:val="single" w:color="auto" w:sz="4" w:space="0"/>
              <w:bottom w:val="single" w:color="auto" w:sz="4" w:space="0"/>
              <w:right w:val="single" w:color="auto" w:sz="4" w:space="0"/>
            </w:tcBorders>
            <w:shd w:val="clear" w:color="auto" w:fill="auto"/>
          </w:tcPr>
          <w:p w14:paraId="7F380C6F">
            <w:pPr>
              <w:widowControl/>
              <w:adjustRightInd/>
              <w:spacing w:line="240" w:lineRule="auto"/>
              <w:jc w:val="center"/>
              <w:rPr>
                <w:rFonts w:ascii="宋体" w:hAnsi="宋体"/>
                <w:sz w:val="18"/>
                <w:szCs w:val="18"/>
              </w:rPr>
            </w:pPr>
            <w:r>
              <w:rPr>
                <w:rFonts w:hint="eastAsia" w:ascii="宋体" w:hAnsi="宋体"/>
                <w:sz w:val="18"/>
                <w:szCs w:val="18"/>
              </w:rPr>
              <w:t>地面喷洒</w:t>
            </w:r>
          </w:p>
        </w:tc>
        <w:tc>
          <w:tcPr>
            <w:tcW w:w="1134" w:type="dxa"/>
            <w:tcBorders>
              <w:top w:val="single" w:color="auto" w:sz="4" w:space="0"/>
              <w:left w:val="single" w:color="auto" w:sz="4" w:space="0"/>
              <w:bottom w:val="single" w:color="auto" w:sz="4" w:space="0"/>
              <w:right w:val="single" w:color="auto" w:sz="8" w:space="0"/>
            </w:tcBorders>
            <w:shd w:val="clear" w:color="auto" w:fill="auto"/>
          </w:tcPr>
          <w:p w14:paraId="24DE3F9A">
            <w:pPr>
              <w:widowControl/>
              <w:adjustRightInd/>
              <w:spacing w:line="240" w:lineRule="auto"/>
              <w:jc w:val="center"/>
              <w:rPr>
                <w:rFonts w:ascii="宋体" w:hAnsi="宋体"/>
                <w:sz w:val="18"/>
                <w:szCs w:val="18"/>
              </w:rPr>
            </w:pPr>
            <w:r>
              <w:rPr>
                <w:rFonts w:hint="eastAsia" w:ascii="宋体" w:hAnsi="宋体"/>
                <w:sz w:val="18"/>
                <w:szCs w:val="18"/>
              </w:rPr>
              <w:t>1</w:t>
            </w:r>
          </w:p>
        </w:tc>
      </w:tr>
      <w:tr w14:paraId="2F922F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left w:val="single" w:color="auto" w:sz="8" w:space="0"/>
              <w:right w:val="single" w:color="auto" w:sz="4" w:space="0"/>
            </w:tcBorders>
            <w:shd w:val="clear" w:color="auto" w:fill="auto"/>
            <w:vAlign w:val="center"/>
          </w:tcPr>
          <w:p w14:paraId="013E5F78">
            <w:pPr>
              <w:widowControl/>
              <w:adjustRightInd/>
              <w:spacing w:line="240" w:lineRule="auto"/>
              <w:jc w:val="center"/>
              <w:rPr>
                <w:rFonts w:ascii="宋体" w:hAnsi="宋体"/>
                <w:sz w:val="18"/>
                <w:szCs w:val="18"/>
              </w:rPr>
            </w:pPr>
          </w:p>
        </w:tc>
        <w:tc>
          <w:tcPr>
            <w:tcW w:w="1865" w:type="dxa"/>
            <w:vMerge w:val="restart"/>
            <w:tcBorders>
              <w:top w:val="single" w:color="auto" w:sz="4" w:space="0"/>
              <w:left w:val="single" w:color="auto" w:sz="4" w:space="0"/>
              <w:right w:val="single" w:color="auto" w:sz="4" w:space="0"/>
            </w:tcBorders>
            <w:shd w:val="clear" w:color="auto" w:fill="auto"/>
            <w:vAlign w:val="center"/>
          </w:tcPr>
          <w:p w14:paraId="438DC361">
            <w:pPr>
              <w:widowControl/>
              <w:adjustRightInd/>
              <w:spacing w:line="240" w:lineRule="auto"/>
              <w:jc w:val="center"/>
              <w:rPr>
                <w:rFonts w:ascii="宋体" w:hAnsi="宋体"/>
                <w:kern w:val="0"/>
                <w:sz w:val="18"/>
                <w:szCs w:val="18"/>
              </w:rPr>
            </w:pPr>
            <w:r>
              <w:rPr>
                <w:rFonts w:hint="eastAsia" w:ascii="宋体" w:hAnsi="宋体"/>
                <w:kern w:val="0"/>
                <w:sz w:val="18"/>
                <w:szCs w:val="18"/>
              </w:rPr>
              <w:t>成虫产卵和蛀果前</w:t>
            </w: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160A89A7">
            <w:pPr>
              <w:adjustRightInd/>
              <w:spacing w:line="240" w:lineRule="auto"/>
              <w:jc w:val="center"/>
              <w:rPr>
                <w:rFonts w:ascii="宋体" w:hAnsi="宋体"/>
                <w:sz w:val="18"/>
                <w:szCs w:val="18"/>
                <w:shd w:val="clear" w:color="auto" w:fill="FFFFFF"/>
              </w:rPr>
            </w:pPr>
            <w:r>
              <w:rPr>
                <w:rFonts w:hint="eastAsia" w:ascii="宋体" w:hAnsi="宋体"/>
                <w:sz w:val="18"/>
                <w:szCs w:val="18"/>
              </w:rPr>
              <w:t>50％杀螟松乳油1 000倍液</w:t>
            </w:r>
          </w:p>
        </w:tc>
        <w:tc>
          <w:tcPr>
            <w:tcW w:w="992" w:type="dxa"/>
            <w:vMerge w:val="restart"/>
            <w:tcBorders>
              <w:top w:val="single" w:color="auto" w:sz="4" w:space="0"/>
              <w:left w:val="single" w:color="auto" w:sz="4" w:space="0"/>
              <w:right w:val="single" w:color="auto" w:sz="4" w:space="0"/>
            </w:tcBorders>
            <w:shd w:val="clear" w:color="auto" w:fill="auto"/>
            <w:vAlign w:val="center"/>
          </w:tcPr>
          <w:p w14:paraId="65DBA771">
            <w:pPr>
              <w:widowControl/>
              <w:adjustRightInd/>
              <w:spacing w:line="240" w:lineRule="auto"/>
              <w:jc w:val="center"/>
              <w:rPr>
                <w:rFonts w:ascii="宋体" w:hAnsi="宋体"/>
                <w:sz w:val="18"/>
                <w:szCs w:val="18"/>
              </w:rPr>
            </w:pPr>
            <w:r>
              <w:rPr>
                <w:rFonts w:hint="eastAsia" w:ascii="宋体" w:hAnsi="宋体"/>
                <w:sz w:val="18"/>
                <w:szCs w:val="18"/>
              </w:rPr>
              <w:t>喷雾</w:t>
            </w:r>
          </w:p>
        </w:tc>
        <w:tc>
          <w:tcPr>
            <w:tcW w:w="1134" w:type="dxa"/>
            <w:vMerge w:val="restart"/>
            <w:tcBorders>
              <w:top w:val="single" w:color="auto" w:sz="4" w:space="0"/>
              <w:left w:val="single" w:color="auto" w:sz="4" w:space="0"/>
              <w:right w:val="single" w:color="auto" w:sz="8" w:space="0"/>
            </w:tcBorders>
            <w:shd w:val="clear" w:color="auto" w:fill="auto"/>
            <w:vAlign w:val="center"/>
          </w:tcPr>
          <w:p w14:paraId="4610B837">
            <w:pPr>
              <w:widowControl/>
              <w:adjustRightInd/>
              <w:spacing w:line="240" w:lineRule="auto"/>
              <w:jc w:val="center"/>
              <w:rPr>
                <w:rFonts w:ascii="宋体" w:hAnsi="宋体"/>
                <w:sz w:val="18"/>
                <w:szCs w:val="18"/>
              </w:rPr>
            </w:pPr>
            <w:r>
              <w:rPr>
                <w:rFonts w:hint="eastAsia" w:ascii="宋体" w:hAnsi="宋体"/>
                <w:sz w:val="18"/>
                <w:szCs w:val="18"/>
              </w:rPr>
              <w:t>1～2</w:t>
            </w:r>
          </w:p>
        </w:tc>
      </w:tr>
      <w:tr w14:paraId="739E2E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left w:val="single" w:color="auto" w:sz="8" w:space="0"/>
              <w:bottom w:val="single" w:color="auto" w:sz="4" w:space="0"/>
              <w:right w:val="single" w:color="auto" w:sz="4" w:space="0"/>
            </w:tcBorders>
            <w:shd w:val="clear" w:color="auto" w:fill="auto"/>
            <w:vAlign w:val="center"/>
          </w:tcPr>
          <w:p w14:paraId="5501C739">
            <w:pPr>
              <w:widowControl/>
              <w:adjustRightInd/>
              <w:spacing w:line="240" w:lineRule="auto"/>
              <w:jc w:val="center"/>
              <w:rPr>
                <w:rFonts w:ascii="宋体" w:hAnsi="宋体"/>
                <w:sz w:val="18"/>
                <w:szCs w:val="18"/>
              </w:rPr>
            </w:pPr>
          </w:p>
        </w:tc>
        <w:tc>
          <w:tcPr>
            <w:tcW w:w="1865" w:type="dxa"/>
            <w:vMerge w:val="continue"/>
            <w:tcBorders>
              <w:left w:val="single" w:color="auto" w:sz="4" w:space="0"/>
              <w:bottom w:val="single" w:color="auto" w:sz="4" w:space="0"/>
              <w:right w:val="single" w:color="auto" w:sz="4" w:space="0"/>
            </w:tcBorders>
            <w:shd w:val="clear" w:color="auto" w:fill="auto"/>
            <w:vAlign w:val="center"/>
          </w:tcPr>
          <w:p w14:paraId="2CFE3823">
            <w:pPr>
              <w:widowControl/>
              <w:adjustRightInd/>
              <w:spacing w:line="240" w:lineRule="auto"/>
              <w:jc w:val="center"/>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3151F336">
            <w:pPr>
              <w:adjustRightInd/>
              <w:spacing w:line="240" w:lineRule="auto"/>
              <w:jc w:val="center"/>
              <w:rPr>
                <w:rFonts w:ascii="宋体" w:hAnsi="宋体"/>
                <w:sz w:val="18"/>
                <w:szCs w:val="18"/>
                <w:shd w:val="clear" w:color="auto" w:fill="FFFFFF"/>
              </w:rPr>
            </w:pPr>
            <w:r>
              <w:rPr>
                <w:rFonts w:hint="eastAsia" w:ascii="宋体" w:hAnsi="宋体"/>
                <w:sz w:val="18"/>
                <w:szCs w:val="18"/>
              </w:rPr>
              <w:t>20％速灭杀丁乳油5 000倍液</w:t>
            </w:r>
          </w:p>
        </w:tc>
        <w:tc>
          <w:tcPr>
            <w:tcW w:w="992" w:type="dxa"/>
            <w:vMerge w:val="continue"/>
            <w:tcBorders>
              <w:left w:val="single" w:color="auto" w:sz="4" w:space="0"/>
              <w:bottom w:val="single" w:color="auto" w:sz="4" w:space="0"/>
              <w:right w:val="single" w:color="auto" w:sz="4" w:space="0"/>
            </w:tcBorders>
            <w:shd w:val="clear" w:color="auto" w:fill="auto"/>
            <w:vAlign w:val="center"/>
          </w:tcPr>
          <w:p w14:paraId="61B147DE">
            <w:pPr>
              <w:widowControl/>
              <w:adjustRightInd/>
              <w:spacing w:line="240" w:lineRule="auto"/>
              <w:jc w:val="center"/>
              <w:rPr>
                <w:rFonts w:ascii="宋体" w:hAnsi="宋体"/>
                <w:sz w:val="18"/>
                <w:szCs w:val="18"/>
              </w:rPr>
            </w:pPr>
          </w:p>
        </w:tc>
        <w:tc>
          <w:tcPr>
            <w:tcW w:w="1134" w:type="dxa"/>
            <w:vMerge w:val="continue"/>
            <w:tcBorders>
              <w:left w:val="single" w:color="auto" w:sz="4" w:space="0"/>
              <w:bottom w:val="single" w:color="auto" w:sz="4" w:space="0"/>
              <w:right w:val="single" w:color="auto" w:sz="8" w:space="0"/>
            </w:tcBorders>
            <w:shd w:val="clear" w:color="auto" w:fill="auto"/>
            <w:vAlign w:val="center"/>
          </w:tcPr>
          <w:p w14:paraId="0DD0A2CE">
            <w:pPr>
              <w:widowControl/>
              <w:adjustRightInd/>
              <w:spacing w:line="240" w:lineRule="auto"/>
              <w:jc w:val="center"/>
              <w:rPr>
                <w:rFonts w:ascii="宋体" w:hAnsi="宋体"/>
                <w:sz w:val="18"/>
                <w:szCs w:val="18"/>
              </w:rPr>
            </w:pPr>
          </w:p>
        </w:tc>
      </w:tr>
      <w:tr w14:paraId="4BB654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restart"/>
            <w:tcBorders>
              <w:top w:val="single" w:color="auto" w:sz="4" w:space="0"/>
              <w:left w:val="single" w:color="auto" w:sz="8" w:space="0"/>
              <w:right w:val="single" w:color="auto" w:sz="4" w:space="0"/>
            </w:tcBorders>
            <w:shd w:val="clear" w:color="auto" w:fill="auto"/>
            <w:vAlign w:val="center"/>
          </w:tcPr>
          <w:p w14:paraId="3997460D">
            <w:pPr>
              <w:widowControl/>
              <w:adjustRightInd/>
              <w:spacing w:line="240" w:lineRule="auto"/>
              <w:jc w:val="center"/>
              <w:rPr>
                <w:rFonts w:ascii="宋体" w:hAnsi="宋体"/>
                <w:sz w:val="18"/>
                <w:szCs w:val="18"/>
              </w:rPr>
            </w:pPr>
            <w:r>
              <w:rPr>
                <w:rFonts w:hint="eastAsia" w:ascii="宋体" w:hAnsi="宋体"/>
                <w:sz w:val="18"/>
                <w:szCs w:val="18"/>
              </w:rPr>
              <w:t>核桃小吉丁虫</w:t>
            </w:r>
          </w:p>
        </w:tc>
        <w:tc>
          <w:tcPr>
            <w:tcW w:w="1865" w:type="dxa"/>
            <w:vMerge w:val="restart"/>
            <w:tcBorders>
              <w:top w:val="single" w:color="auto" w:sz="4" w:space="0"/>
              <w:left w:val="single" w:color="auto" w:sz="4" w:space="0"/>
              <w:right w:val="single" w:color="auto" w:sz="4" w:space="0"/>
            </w:tcBorders>
            <w:shd w:val="clear" w:color="auto" w:fill="auto"/>
            <w:vAlign w:val="center"/>
          </w:tcPr>
          <w:p w14:paraId="5C0606B9">
            <w:pPr>
              <w:widowControl/>
              <w:adjustRightInd/>
              <w:spacing w:line="240" w:lineRule="auto"/>
              <w:jc w:val="center"/>
              <w:rPr>
                <w:rFonts w:ascii="宋体" w:hAnsi="宋体"/>
                <w:kern w:val="0"/>
                <w:sz w:val="18"/>
                <w:szCs w:val="18"/>
              </w:rPr>
            </w:pPr>
            <w:r>
              <w:rPr>
                <w:rFonts w:hint="eastAsia" w:ascii="宋体" w:hAnsi="宋体"/>
                <w:kern w:val="0"/>
                <w:sz w:val="18"/>
                <w:szCs w:val="18"/>
              </w:rPr>
              <w:t>成虫羽化出洞前或成虫发生期</w:t>
            </w: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023C7A0B">
            <w:pPr>
              <w:adjustRightInd/>
              <w:spacing w:line="240" w:lineRule="auto"/>
              <w:jc w:val="center"/>
              <w:rPr>
                <w:rFonts w:ascii="宋体" w:hAnsi="宋体"/>
                <w:sz w:val="18"/>
                <w:szCs w:val="18"/>
                <w:shd w:val="clear" w:color="auto" w:fill="FFFFFF"/>
              </w:rPr>
            </w:pPr>
            <w:r>
              <w:rPr>
                <w:rFonts w:hint="eastAsia" w:ascii="宋体" w:hAnsi="宋体"/>
                <w:sz w:val="18"/>
                <w:szCs w:val="18"/>
              </w:rPr>
              <w:t>25％西维因可湿性粉剂500倍液</w:t>
            </w:r>
          </w:p>
        </w:tc>
        <w:tc>
          <w:tcPr>
            <w:tcW w:w="992" w:type="dxa"/>
            <w:vMerge w:val="restart"/>
            <w:tcBorders>
              <w:top w:val="single" w:color="auto" w:sz="4" w:space="0"/>
              <w:left w:val="single" w:color="auto" w:sz="4" w:space="0"/>
              <w:right w:val="single" w:color="auto" w:sz="4" w:space="0"/>
            </w:tcBorders>
            <w:shd w:val="clear" w:color="auto" w:fill="auto"/>
            <w:vAlign w:val="center"/>
          </w:tcPr>
          <w:p w14:paraId="00036B45">
            <w:pPr>
              <w:widowControl/>
              <w:adjustRightInd/>
              <w:spacing w:line="240" w:lineRule="auto"/>
              <w:jc w:val="center"/>
              <w:rPr>
                <w:rFonts w:ascii="宋体" w:hAnsi="宋体"/>
                <w:sz w:val="18"/>
                <w:szCs w:val="18"/>
              </w:rPr>
            </w:pPr>
            <w:r>
              <w:rPr>
                <w:rFonts w:hint="eastAsia" w:ascii="宋体" w:hAnsi="宋体"/>
                <w:sz w:val="18"/>
                <w:szCs w:val="18"/>
              </w:rPr>
              <w:t>喷雾</w:t>
            </w:r>
          </w:p>
        </w:tc>
        <w:tc>
          <w:tcPr>
            <w:tcW w:w="1134" w:type="dxa"/>
            <w:vMerge w:val="restart"/>
            <w:tcBorders>
              <w:top w:val="single" w:color="auto" w:sz="4" w:space="0"/>
              <w:left w:val="single" w:color="auto" w:sz="4" w:space="0"/>
              <w:right w:val="single" w:color="auto" w:sz="8" w:space="0"/>
            </w:tcBorders>
            <w:shd w:val="clear" w:color="auto" w:fill="auto"/>
            <w:vAlign w:val="center"/>
          </w:tcPr>
          <w:p w14:paraId="793F4217">
            <w:pPr>
              <w:widowControl/>
              <w:adjustRightInd/>
              <w:spacing w:line="240" w:lineRule="auto"/>
              <w:jc w:val="center"/>
              <w:rPr>
                <w:rFonts w:ascii="宋体" w:hAnsi="宋体"/>
                <w:sz w:val="18"/>
                <w:szCs w:val="18"/>
              </w:rPr>
            </w:pPr>
            <w:r>
              <w:rPr>
                <w:rFonts w:hint="eastAsia" w:ascii="宋体" w:hAnsi="宋体"/>
                <w:sz w:val="18"/>
                <w:szCs w:val="18"/>
              </w:rPr>
              <w:t>1～2</w:t>
            </w:r>
          </w:p>
        </w:tc>
      </w:tr>
      <w:tr w14:paraId="14E17B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left w:val="single" w:color="auto" w:sz="8" w:space="0"/>
              <w:right w:val="single" w:color="auto" w:sz="4" w:space="0"/>
            </w:tcBorders>
            <w:shd w:val="clear" w:color="auto" w:fill="auto"/>
            <w:vAlign w:val="center"/>
          </w:tcPr>
          <w:p w14:paraId="07F56DCE">
            <w:pPr>
              <w:widowControl/>
              <w:adjustRightInd/>
              <w:spacing w:line="240" w:lineRule="auto"/>
              <w:jc w:val="center"/>
              <w:rPr>
                <w:rFonts w:ascii="宋体" w:hAnsi="宋体"/>
                <w:sz w:val="18"/>
                <w:szCs w:val="18"/>
              </w:rPr>
            </w:pPr>
          </w:p>
        </w:tc>
        <w:tc>
          <w:tcPr>
            <w:tcW w:w="1865" w:type="dxa"/>
            <w:vMerge w:val="continue"/>
            <w:tcBorders>
              <w:left w:val="single" w:color="auto" w:sz="4" w:space="0"/>
              <w:right w:val="single" w:color="auto" w:sz="4" w:space="0"/>
            </w:tcBorders>
            <w:shd w:val="clear" w:color="auto" w:fill="auto"/>
            <w:vAlign w:val="center"/>
          </w:tcPr>
          <w:p w14:paraId="5D7A123A">
            <w:pPr>
              <w:widowControl/>
              <w:adjustRightInd/>
              <w:spacing w:line="240" w:lineRule="auto"/>
              <w:jc w:val="center"/>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05EA2C20">
            <w:pPr>
              <w:adjustRightInd/>
              <w:spacing w:line="240" w:lineRule="auto"/>
              <w:jc w:val="center"/>
              <w:rPr>
                <w:rFonts w:ascii="宋体" w:hAnsi="宋体"/>
                <w:sz w:val="18"/>
                <w:szCs w:val="18"/>
                <w:shd w:val="clear" w:color="auto" w:fill="FFFFFF"/>
              </w:rPr>
            </w:pPr>
            <w:r>
              <w:rPr>
                <w:rFonts w:hint="eastAsia" w:ascii="宋体" w:hAnsi="宋体"/>
                <w:sz w:val="18"/>
                <w:szCs w:val="18"/>
              </w:rPr>
              <w:t>80％敌敌畏乳剂800倍液</w:t>
            </w:r>
          </w:p>
        </w:tc>
        <w:tc>
          <w:tcPr>
            <w:tcW w:w="992" w:type="dxa"/>
            <w:vMerge w:val="continue"/>
            <w:tcBorders>
              <w:left w:val="single" w:color="auto" w:sz="4" w:space="0"/>
              <w:right w:val="single" w:color="auto" w:sz="4" w:space="0"/>
            </w:tcBorders>
            <w:shd w:val="clear" w:color="auto" w:fill="auto"/>
            <w:vAlign w:val="center"/>
          </w:tcPr>
          <w:p w14:paraId="0F1E2D56">
            <w:pPr>
              <w:widowControl/>
              <w:adjustRightInd/>
              <w:spacing w:line="240" w:lineRule="auto"/>
              <w:jc w:val="center"/>
              <w:rPr>
                <w:rFonts w:ascii="宋体" w:hAnsi="宋体"/>
                <w:sz w:val="18"/>
                <w:szCs w:val="18"/>
              </w:rPr>
            </w:pPr>
          </w:p>
        </w:tc>
        <w:tc>
          <w:tcPr>
            <w:tcW w:w="1134" w:type="dxa"/>
            <w:vMerge w:val="continue"/>
            <w:tcBorders>
              <w:left w:val="single" w:color="auto" w:sz="4" w:space="0"/>
              <w:right w:val="single" w:color="auto" w:sz="8" w:space="0"/>
            </w:tcBorders>
            <w:shd w:val="clear" w:color="auto" w:fill="auto"/>
            <w:vAlign w:val="center"/>
          </w:tcPr>
          <w:p w14:paraId="516DA008">
            <w:pPr>
              <w:widowControl/>
              <w:adjustRightInd/>
              <w:spacing w:line="240" w:lineRule="auto"/>
              <w:jc w:val="center"/>
              <w:rPr>
                <w:rFonts w:ascii="宋体" w:hAnsi="宋体"/>
                <w:sz w:val="18"/>
                <w:szCs w:val="18"/>
              </w:rPr>
            </w:pPr>
          </w:p>
        </w:tc>
      </w:tr>
      <w:tr w14:paraId="393AD9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left w:val="single" w:color="auto" w:sz="8" w:space="0"/>
              <w:bottom w:val="single" w:color="auto" w:sz="4" w:space="0"/>
              <w:right w:val="single" w:color="auto" w:sz="4" w:space="0"/>
            </w:tcBorders>
            <w:shd w:val="clear" w:color="auto" w:fill="auto"/>
            <w:vAlign w:val="center"/>
          </w:tcPr>
          <w:p w14:paraId="1F197515">
            <w:pPr>
              <w:widowControl/>
              <w:adjustRightInd/>
              <w:spacing w:line="240" w:lineRule="auto"/>
              <w:jc w:val="center"/>
              <w:rPr>
                <w:rFonts w:ascii="宋体" w:hAnsi="宋体"/>
                <w:sz w:val="18"/>
                <w:szCs w:val="18"/>
              </w:rPr>
            </w:pPr>
          </w:p>
        </w:tc>
        <w:tc>
          <w:tcPr>
            <w:tcW w:w="1865" w:type="dxa"/>
            <w:vMerge w:val="continue"/>
            <w:tcBorders>
              <w:left w:val="single" w:color="auto" w:sz="4" w:space="0"/>
              <w:bottom w:val="single" w:color="auto" w:sz="4" w:space="0"/>
              <w:right w:val="single" w:color="auto" w:sz="4" w:space="0"/>
            </w:tcBorders>
            <w:shd w:val="clear" w:color="auto" w:fill="auto"/>
            <w:vAlign w:val="center"/>
          </w:tcPr>
          <w:p w14:paraId="78E2405B">
            <w:pPr>
              <w:widowControl/>
              <w:adjustRightInd/>
              <w:spacing w:line="240" w:lineRule="auto"/>
              <w:jc w:val="center"/>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2577D23F">
            <w:pPr>
              <w:adjustRightInd/>
              <w:spacing w:line="240" w:lineRule="auto"/>
              <w:jc w:val="center"/>
              <w:rPr>
                <w:rFonts w:ascii="宋体" w:hAnsi="宋体"/>
                <w:sz w:val="18"/>
                <w:szCs w:val="18"/>
                <w:shd w:val="clear" w:color="auto" w:fill="FFFFFF"/>
              </w:rPr>
            </w:pPr>
            <w:r>
              <w:rPr>
                <w:rFonts w:hint="eastAsia" w:ascii="宋体" w:hAnsi="宋体"/>
                <w:sz w:val="18"/>
                <w:szCs w:val="18"/>
              </w:rPr>
              <w:t>2.5％溴氰菊酯乳剂4 000倍液</w:t>
            </w:r>
          </w:p>
        </w:tc>
        <w:tc>
          <w:tcPr>
            <w:tcW w:w="992" w:type="dxa"/>
            <w:vMerge w:val="continue"/>
            <w:tcBorders>
              <w:left w:val="single" w:color="auto" w:sz="4" w:space="0"/>
              <w:bottom w:val="single" w:color="auto" w:sz="4" w:space="0"/>
              <w:right w:val="single" w:color="auto" w:sz="4" w:space="0"/>
            </w:tcBorders>
            <w:shd w:val="clear" w:color="auto" w:fill="auto"/>
            <w:vAlign w:val="center"/>
          </w:tcPr>
          <w:p w14:paraId="21C49C39">
            <w:pPr>
              <w:widowControl/>
              <w:adjustRightInd/>
              <w:spacing w:line="240" w:lineRule="auto"/>
              <w:jc w:val="center"/>
              <w:rPr>
                <w:rFonts w:ascii="宋体" w:hAnsi="宋体"/>
                <w:sz w:val="18"/>
                <w:szCs w:val="18"/>
              </w:rPr>
            </w:pPr>
          </w:p>
        </w:tc>
        <w:tc>
          <w:tcPr>
            <w:tcW w:w="1134" w:type="dxa"/>
            <w:vMerge w:val="continue"/>
            <w:tcBorders>
              <w:left w:val="single" w:color="auto" w:sz="4" w:space="0"/>
              <w:bottom w:val="single" w:color="auto" w:sz="4" w:space="0"/>
              <w:right w:val="single" w:color="auto" w:sz="8" w:space="0"/>
            </w:tcBorders>
            <w:shd w:val="clear" w:color="auto" w:fill="auto"/>
            <w:vAlign w:val="center"/>
          </w:tcPr>
          <w:p w14:paraId="49DF2019">
            <w:pPr>
              <w:widowControl/>
              <w:adjustRightInd/>
              <w:spacing w:line="240" w:lineRule="auto"/>
              <w:jc w:val="center"/>
              <w:rPr>
                <w:rFonts w:ascii="宋体" w:hAnsi="宋体"/>
                <w:sz w:val="18"/>
                <w:szCs w:val="18"/>
              </w:rPr>
            </w:pPr>
          </w:p>
        </w:tc>
      </w:tr>
      <w:tr w14:paraId="26AE88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restart"/>
            <w:tcBorders>
              <w:top w:val="single" w:color="auto" w:sz="4" w:space="0"/>
              <w:left w:val="single" w:color="auto" w:sz="8" w:space="0"/>
              <w:right w:val="single" w:color="auto" w:sz="4" w:space="0"/>
            </w:tcBorders>
            <w:shd w:val="clear" w:color="auto" w:fill="auto"/>
            <w:vAlign w:val="center"/>
          </w:tcPr>
          <w:p w14:paraId="1C59CEE6">
            <w:pPr>
              <w:widowControl/>
              <w:adjustRightInd/>
              <w:spacing w:line="240" w:lineRule="auto"/>
              <w:jc w:val="center"/>
              <w:rPr>
                <w:rFonts w:ascii="宋体" w:hAnsi="宋体"/>
                <w:sz w:val="18"/>
                <w:szCs w:val="18"/>
              </w:rPr>
            </w:pPr>
            <w:r>
              <w:rPr>
                <w:rFonts w:hint="eastAsia" w:ascii="宋体" w:hAnsi="宋体"/>
                <w:sz w:val="18"/>
                <w:szCs w:val="18"/>
              </w:rPr>
              <w:t>蚜虫</w:t>
            </w:r>
          </w:p>
        </w:tc>
        <w:tc>
          <w:tcPr>
            <w:tcW w:w="1865" w:type="dxa"/>
            <w:vMerge w:val="restart"/>
            <w:tcBorders>
              <w:top w:val="single" w:color="auto" w:sz="4" w:space="0"/>
              <w:left w:val="single" w:color="auto" w:sz="4" w:space="0"/>
              <w:right w:val="single" w:color="auto" w:sz="4" w:space="0"/>
            </w:tcBorders>
            <w:shd w:val="clear" w:color="auto" w:fill="auto"/>
            <w:vAlign w:val="center"/>
          </w:tcPr>
          <w:p w14:paraId="580D48C3">
            <w:pPr>
              <w:widowControl/>
              <w:adjustRightInd/>
              <w:spacing w:line="240" w:lineRule="auto"/>
              <w:jc w:val="center"/>
              <w:rPr>
                <w:rFonts w:ascii="宋体" w:hAnsi="宋体"/>
                <w:kern w:val="0"/>
                <w:sz w:val="18"/>
                <w:szCs w:val="18"/>
              </w:rPr>
            </w:pPr>
            <w:r>
              <w:rPr>
                <w:rFonts w:hint="eastAsia" w:ascii="宋体" w:hAnsi="宋体"/>
                <w:kern w:val="0"/>
                <w:sz w:val="18"/>
                <w:szCs w:val="18"/>
              </w:rPr>
              <w:t>发病初期</w:t>
            </w: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0433D02A">
            <w:pPr>
              <w:adjustRightInd/>
              <w:spacing w:line="240" w:lineRule="auto"/>
              <w:jc w:val="center"/>
              <w:rPr>
                <w:rFonts w:ascii="宋体" w:hAnsi="宋体"/>
                <w:sz w:val="18"/>
                <w:szCs w:val="18"/>
                <w:shd w:val="clear" w:color="auto" w:fill="FFFFFF"/>
              </w:rPr>
            </w:pPr>
            <w:r>
              <w:rPr>
                <w:rFonts w:hint="eastAsia" w:ascii="宋体" w:hAnsi="宋体"/>
                <w:sz w:val="18"/>
                <w:szCs w:val="18"/>
              </w:rPr>
              <w:t>25%吡虫啉可湿性粉剂 1 500倍～2 000倍液</w:t>
            </w:r>
          </w:p>
        </w:tc>
        <w:tc>
          <w:tcPr>
            <w:tcW w:w="992" w:type="dxa"/>
            <w:vMerge w:val="restart"/>
            <w:tcBorders>
              <w:top w:val="single" w:color="auto" w:sz="4" w:space="0"/>
              <w:left w:val="single" w:color="auto" w:sz="4" w:space="0"/>
              <w:right w:val="single" w:color="auto" w:sz="4" w:space="0"/>
            </w:tcBorders>
            <w:shd w:val="clear" w:color="auto" w:fill="auto"/>
          </w:tcPr>
          <w:p w14:paraId="522D057F">
            <w:pPr>
              <w:widowControl/>
              <w:adjustRightInd/>
              <w:spacing w:line="240" w:lineRule="auto"/>
              <w:jc w:val="center"/>
              <w:rPr>
                <w:rFonts w:ascii="宋体" w:hAnsi="宋体"/>
                <w:sz w:val="18"/>
                <w:szCs w:val="18"/>
              </w:rPr>
            </w:pPr>
            <w:r>
              <w:rPr>
                <w:rFonts w:hint="eastAsia" w:ascii="宋体" w:hAnsi="宋体"/>
                <w:sz w:val="18"/>
                <w:szCs w:val="18"/>
              </w:rPr>
              <w:t>喷雾</w:t>
            </w:r>
          </w:p>
        </w:tc>
        <w:tc>
          <w:tcPr>
            <w:tcW w:w="1134" w:type="dxa"/>
            <w:vMerge w:val="restart"/>
            <w:tcBorders>
              <w:top w:val="single" w:color="auto" w:sz="4" w:space="0"/>
              <w:left w:val="single" w:color="auto" w:sz="4" w:space="0"/>
              <w:right w:val="single" w:color="auto" w:sz="8" w:space="0"/>
            </w:tcBorders>
            <w:shd w:val="clear" w:color="auto" w:fill="auto"/>
          </w:tcPr>
          <w:p w14:paraId="3AE81FBD">
            <w:pPr>
              <w:widowControl/>
              <w:adjustRightInd/>
              <w:spacing w:line="240" w:lineRule="auto"/>
              <w:jc w:val="center"/>
              <w:rPr>
                <w:rFonts w:ascii="宋体" w:hAnsi="宋体"/>
                <w:sz w:val="18"/>
                <w:szCs w:val="18"/>
              </w:rPr>
            </w:pPr>
            <w:r>
              <w:rPr>
                <w:rFonts w:hint="eastAsia" w:ascii="宋体" w:hAnsi="宋体"/>
                <w:sz w:val="18"/>
                <w:szCs w:val="18"/>
              </w:rPr>
              <w:t>2～3</w:t>
            </w:r>
          </w:p>
        </w:tc>
      </w:tr>
      <w:tr w14:paraId="111F03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left w:val="single" w:color="auto" w:sz="8" w:space="0"/>
              <w:bottom w:val="single" w:color="auto" w:sz="4" w:space="0"/>
              <w:right w:val="single" w:color="auto" w:sz="4" w:space="0"/>
            </w:tcBorders>
            <w:shd w:val="clear" w:color="auto" w:fill="auto"/>
            <w:vAlign w:val="center"/>
          </w:tcPr>
          <w:p w14:paraId="15CBB088">
            <w:pPr>
              <w:widowControl/>
              <w:adjustRightInd/>
              <w:spacing w:line="240" w:lineRule="auto"/>
              <w:jc w:val="center"/>
              <w:rPr>
                <w:rFonts w:ascii="宋体" w:hAnsi="宋体"/>
                <w:sz w:val="18"/>
                <w:szCs w:val="18"/>
              </w:rPr>
            </w:pPr>
          </w:p>
        </w:tc>
        <w:tc>
          <w:tcPr>
            <w:tcW w:w="1865" w:type="dxa"/>
            <w:vMerge w:val="continue"/>
            <w:tcBorders>
              <w:left w:val="single" w:color="auto" w:sz="4" w:space="0"/>
              <w:bottom w:val="single" w:color="auto" w:sz="4" w:space="0"/>
              <w:right w:val="single" w:color="auto" w:sz="4" w:space="0"/>
            </w:tcBorders>
            <w:shd w:val="clear" w:color="auto" w:fill="auto"/>
            <w:vAlign w:val="center"/>
          </w:tcPr>
          <w:p w14:paraId="11545874">
            <w:pPr>
              <w:widowControl/>
              <w:adjustRightInd/>
              <w:spacing w:line="240" w:lineRule="auto"/>
              <w:jc w:val="center"/>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4D59343A">
            <w:pPr>
              <w:adjustRightInd/>
              <w:spacing w:line="240" w:lineRule="auto"/>
              <w:jc w:val="center"/>
              <w:rPr>
                <w:rFonts w:ascii="宋体" w:hAnsi="宋体"/>
                <w:sz w:val="18"/>
                <w:szCs w:val="18"/>
                <w:shd w:val="clear" w:color="auto" w:fill="FFFFFF"/>
              </w:rPr>
            </w:pPr>
            <w:r>
              <w:rPr>
                <w:rFonts w:hint="eastAsia" w:ascii="宋体" w:hAnsi="宋体"/>
                <w:sz w:val="18"/>
                <w:szCs w:val="18"/>
              </w:rPr>
              <w:t>20%丁硫克百威乳油1 500倍液</w:t>
            </w:r>
          </w:p>
        </w:tc>
        <w:tc>
          <w:tcPr>
            <w:tcW w:w="992" w:type="dxa"/>
            <w:vMerge w:val="continue"/>
            <w:tcBorders>
              <w:left w:val="single" w:color="auto" w:sz="4" w:space="0"/>
              <w:bottom w:val="single" w:color="auto" w:sz="4" w:space="0"/>
              <w:right w:val="single" w:color="auto" w:sz="4" w:space="0"/>
            </w:tcBorders>
            <w:shd w:val="clear" w:color="auto" w:fill="auto"/>
            <w:vAlign w:val="center"/>
          </w:tcPr>
          <w:p w14:paraId="02301359">
            <w:pPr>
              <w:widowControl/>
              <w:adjustRightInd/>
              <w:spacing w:line="240" w:lineRule="auto"/>
              <w:jc w:val="center"/>
              <w:rPr>
                <w:rFonts w:ascii="宋体" w:hAnsi="宋体"/>
                <w:sz w:val="18"/>
                <w:szCs w:val="18"/>
              </w:rPr>
            </w:pPr>
          </w:p>
        </w:tc>
        <w:tc>
          <w:tcPr>
            <w:tcW w:w="1134" w:type="dxa"/>
            <w:vMerge w:val="continue"/>
            <w:tcBorders>
              <w:left w:val="single" w:color="auto" w:sz="4" w:space="0"/>
              <w:bottom w:val="single" w:color="auto" w:sz="4" w:space="0"/>
              <w:right w:val="single" w:color="auto" w:sz="8" w:space="0"/>
            </w:tcBorders>
            <w:shd w:val="clear" w:color="auto" w:fill="auto"/>
            <w:vAlign w:val="center"/>
          </w:tcPr>
          <w:p w14:paraId="66D47BBE">
            <w:pPr>
              <w:widowControl/>
              <w:adjustRightInd/>
              <w:spacing w:line="240" w:lineRule="auto"/>
              <w:jc w:val="center"/>
              <w:rPr>
                <w:rFonts w:ascii="宋体" w:hAnsi="宋体"/>
                <w:sz w:val="18"/>
                <w:szCs w:val="18"/>
              </w:rPr>
            </w:pPr>
          </w:p>
        </w:tc>
      </w:tr>
      <w:tr w14:paraId="4AE0B6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restart"/>
            <w:tcBorders>
              <w:top w:val="single" w:color="auto" w:sz="4" w:space="0"/>
              <w:left w:val="single" w:color="auto" w:sz="8" w:space="0"/>
              <w:right w:val="single" w:color="auto" w:sz="4" w:space="0"/>
            </w:tcBorders>
            <w:shd w:val="clear" w:color="auto" w:fill="auto"/>
          </w:tcPr>
          <w:p w14:paraId="6BFE2B3B">
            <w:pPr>
              <w:widowControl/>
              <w:adjustRightInd/>
              <w:spacing w:line="240" w:lineRule="auto"/>
              <w:jc w:val="center"/>
              <w:rPr>
                <w:rFonts w:ascii="宋体" w:hAnsi="宋体"/>
                <w:sz w:val="18"/>
                <w:szCs w:val="18"/>
              </w:rPr>
            </w:pPr>
            <w:r>
              <w:rPr>
                <w:rFonts w:hint="eastAsia" w:ascii="宋体" w:hAnsi="宋体"/>
                <w:sz w:val="18"/>
                <w:szCs w:val="18"/>
              </w:rPr>
              <w:t>红蜘蛛</w:t>
            </w:r>
          </w:p>
        </w:tc>
        <w:tc>
          <w:tcPr>
            <w:tcW w:w="1865" w:type="dxa"/>
            <w:vMerge w:val="restart"/>
            <w:tcBorders>
              <w:top w:val="single" w:color="auto" w:sz="4" w:space="0"/>
              <w:left w:val="single" w:color="auto" w:sz="4" w:space="0"/>
              <w:right w:val="single" w:color="auto" w:sz="4" w:space="0"/>
            </w:tcBorders>
            <w:shd w:val="clear" w:color="auto" w:fill="auto"/>
          </w:tcPr>
          <w:p w14:paraId="700CB58A">
            <w:pPr>
              <w:widowControl/>
              <w:adjustRightInd/>
              <w:spacing w:line="240" w:lineRule="auto"/>
              <w:jc w:val="center"/>
              <w:rPr>
                <w:rFonts w:ascii="宋体" w:hAnsi="宋体"/>
                <w:kern w:val="0"/>
                <w:sz w:val="18"/>
                <w:szCs w:val="18"/>
              </w:rPr>
            </w:pPr>
            <w:r>
              <w:rPr>
                <w:rFonts w:hint="eastAsia" w:ascii="宋体" w:hAnsi="宋体"/>
                <w:sz w:val="18"/>
                <w:szCs w:val="18"/>
              </w:rPr>
              <w:t>发病初期</w:t>
            </w: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523583F3">
            <w:pPr>
              <w:adjustRightInd/>
              <w:spacing w:line="240" w:lineRule="auto"/>
              <w:jc w:val="center"/>
              <w:rPr>
                <w:rFonts w:ascii="宋体" w:hAnsi="宋体"/>
                <w:sz w:val="18"/>
                <w:szCs w:val="18"/>
              </w:rPr>
            </w:pPr>
            <w:r>
              <w:rPr>
                <w:rFonts w:hint="eastAsia" w:ascii="宋体" w:hAnsi="宋体"/>
                <w:sz w:val="18"/>
                <w:szCs w:val="18"/>
              </w:rPr>
              <w:t>1.8%阿维菌素乳油 3 000倍～5 000倍液</w:t>
            </w:r>
          </w:p>
        </w:tc>
        <w:tc>
          <w:tcPr>
            <w:tcW w:w="992" w:type="dxa"/>
            <w:vMerge w:val="restart"/>
            <w:tcBorders>
              <w:top w:val="single" w:color="auto" w:sz="4" w:space="0"/>
              <w:left w:val="single" w:color="auto" w:sz="4" w:space="0"/>
              <w:right w:val="single" w:color="auto" w:sz="4" w:space="0"/>
            </w:tcBorders>
            <w:shd w:val="clear" w:color="auto" w:fill="auto"/>
          </w:tcPr>
          <w:p w14:paraId="615CB9FC">
            <w:pPr>
              <w:widowControl/>
              <w:adjustRightInd/>
              <w:spacing w:line="240" w:lineRule="auto"/>
              <w:jc w:val="center"/>
              <w:rPr>
                <w:rFonts w:ascii="宋体" w:hAnsi="宋体"/>
                <w:sz w:val="18"/>
                <w:szCs w:val="18"/>
              </w:rPr>
            </w:pPr>
            <w:r>
              <w:rPr>
                <w:rFonts w:hint="eastAsia" w:ascii="宋体" w:hAnsi="宋体"/>
                <w:sz w:val="18"/>
                <w:szCs w:val="18"/>
              </w:rPr>
              <w:t>喷雾</w:t>
            </w:r>
          </w:p>
        </w:tc>
        <w:tc>
          <w:tcPr>
            <w:tcW w:w="1134" w:type="dxa"/>
            <w:vMerge w:val="restart"/>
            <w:tcBorders>
              <w:top w:val="single" w:color="auto" w:sz="4" w:space="0"/>
              <w:left w:val="single" w:color="auto" w:sz="4" w:space="0"/>
              <w:right w:val="single" w:color="auto" w:sz="8" w:space="0"/>
            </w:tcBorders>
            <w:shd w:val="clear" w:color="auto" w:fill="auto"/>
          </w:tcPr>
          <w:p w14:paraId="765E8E1C">
            <w:pPr>
              <w:widowControl/>
              <w:adjustRightInd/>
              <w:spacing w:line="240" w:lineRule="auto"/>
              <w:jc w:val="center"/>
              <w:rPr>
                <w:rFonts w:ascii="宋体" w:hAnsi="宋体"/>
                <w:sz w:val="18"/>
                <w:szCs w:val="18"/>
              </w:rPr>
            </w:pPr>
            <w:r>
              <w:rPr>
                <w:rFonts w:hint="eastAsia" w:ascii="宋体" w:hAnsi="宋体"/>
                <w:sz w:val="18"/>
                <w:szCs w:val="18"/>
              </w:rPr>
              <w:t>2～3</w:t>
            </w:r>
          </w:p>
        </w:tc>
      </w:tr>
      <w:tr w14:paraId="7F63A2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left w:val="single" w:color="auto" w:sz="8" w:space="0"/>
              <w:right w:val="single" w:color="auto" w:sz="4" w:space="0"/>
            </w:tcBorders>
            <w:shd w:val="clear" w:color="auto" w:fill="auto"/>
            <w:vAlign w:val="center"/>
          </w:tcPr>
          <w:p w14:paraId="68BF59EF">
            <w:pPr>
              <w:widowControl/>
              <w:adjustRightInd/>
              <w:spacing w:line="240" w:lineRule="auto"/>
              <w:jc w:val="center"/>
              <w:rPr>
                <w:rFonts w:ascii="宋体" w:hAnsi="宋体"/>
                <w:sz w:val="18"/>
                <w:szCs w:val="18"/>
              </w:rPr>
            </w:pPr>
          </w:p>
        </w:tc>
        <w:tc>
          <w:tcPr>
            <w:tcW w:w="1865" w:type="dxa"/>
            <w:vMerge w:val="continue"/>
            <w:tcBorders>
              <w:left w:val="single" w:color="auto" w:sz="4" w:space="0"/>
              <w:right w:val="single" w:color="auto" w:sz="4" w:space="0"/>
            </w:tcBorders>
            <w:shd w:val="clear" w:color="auto" w:fill="auto"/>
            <w:vAlign w:val="center"/>
          </w:tcPr>
          <w:p w14:paraId="1DB27207">
            <w:pPr>
              <w:widowControl/>
              <w:adjustRightInd/>
              <w:spacing w:line="240" w:lineRule="auto"/>
              <w:jc w:val="center"/>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55D39043">
            <w:pPr>
              <w:adjustRightInd/>
              <w:spacing w:line="240" w:lineRule="auto"/>
              <w:jc w:val="center"/>
              <w:rPr>
                <w:rFonts w:ascii="宋体" w:hAnsi="宋体"/>
                <w:sz w:val="18"/>
                <w:szCs w:val="18"/>
              </w:rPr>
            </w:pPr>
            <w:r>
              <w:rPr>
                <w:rFonts w:hint="eastAsia" w:ascii="宋体" w:hAnsi="宋体"/>
                <w:sz w:val="18"/>
                <w:szCs w:val="18"/>
              </w:rPr>
              <w:t>20%螨死净可湿性粉剂2 000倍液</w:t>
            </w:r>
          </w:p>
        </w:tc>
        <w:tc>
          <w:tcPr>
            <w:tcW w:w="992" w:type="dxa"/>
            <w:vMerge w:val="continue"/>
            <w:tcBorders>
              <w:left w:val="single" w:color="auto" w:sz="4" w:space="0"/>
              <w:right w:val="single" w:color="auto" w:sz="4" w:space="0"/>
            </w:tcBorders>
            <w:shd w:val="clear" w:color="auto" w:fill="auto"/>
            <w:vAlign w:val="center"/>
          </w:tcPr>
          <w:p w14:paraId="18A8417F">
            <w:pPr>
              <w:widowControl/>
              <w:adjustRightInd/>
              <w:spacing w:line="240" w:lineRule="auto"/>
              <w:jc w:val="center"/>
              <w:rPr>
                <w:rFonts w:ascii="宋体" w:hAnsi="宋体"/>
                <w:sz w:val="18"/>
                <w:szCs w:val="18"/>
              </w:rPr>
            </w:pPr>
          </w:p>
        </w:tc>
        <w:tc>
          <w:tcPr>
            <w:tcW w:w="1134" w:type="dxa"/>
            <w:vMerge w:val="continue"/>
            <w:tcBorders>
              <w:left w:val="single" w:color="auto" w:sz="4" w:space="0"/>
              <w:right w:val="single" w:color="auto" w:sz="8" w:space="0"/>
            </w:tcBorders>
            <w:shd w:val="clear" w:color="auto" w:fill="auto"/>
            <w:vAlign w:val="center"/>
          </w:tcPr>
          <w:p w14:paraId="5D53397B">
            <w:pPr>
              <w:widowControl/>
              <w:adjustRightInd/>
              <w:spacing w:line="240" w:lineRule="auto"/>
              <w:jc w:val="center"/>
              <w:rPr>
                <w:rFonts w:ascii="宋体" w:hAnsi="宋体"/>
                <w:sz w:val="18"/>
                <w:szCs w:val="18"/>
              </w:rPr>
            </w:pPr>
          </w:p>
        </w:tc>
      </w:tr>
      <w:tr w14:paraId="79FB31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left w:val="single" w:color="auto" w:sz="8" w:space="0"/>
              <w:bottom w:val="single" w:color="auto" w:sz="4" w:space="0"/>
              <w:right w:val="single" w:color="auto" w:sz="4" w:space="0"/>
            </w:tcBorders>
            <w:shd w:val="clear" w:color="auto" w:fill="auto"/>
            <w:vAlign w:val="center"/>
          </w:tcPr>
          <w:p w14:paraId="4E102D98">
            <w:pPr>
              <w:widowControl/>
              <w:adjustRightInd/>
              <w:spacing w:line="240" w:lineRule="auto"/>
              <w:jc w:val="center"/>
              <w:rPr>
                <w:rFonts w:ascii="宋体" w:hAnsi="宋体"/>
                <w:sz w:val="18"/>
                <w:szCs w:val="18"/>
              </w:rPr>
            </w:pPr>
          </w:p>
        </w:tc>
        <w:tc>
          <w:tcPr>
            <w:tcW w:w="1865" w:type="dxa"/>
            <w:vMerge w:val="continue"/>
            <w:tcBorders>
              <w:left w:val="single" w:color="auto" w:sz="4" w:space="0"/>
              <w:bottom w:val="single" w:color="auto" w:sz="4" w:space="0"/>
              <w:right w:val="single" w:color="auto" w:sz="4" w:space="0"/>
            </w:tcBorders>
            <w:shd w:val="clear" w:color="auto" w:fill="auto"/>
            <w:vAlign w:val="center"/>
          </w:tcPr>
          <w:p w14:paraId="7E8223FA">
            <w:pPr>
              <w:widowControl/>
              <w:adjustRightInd/>
              <w:spacing w:line="240" w:lineRule="auto"/>
              <w:jc w:val="center"/>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05C1BCF5">
            <w:pPr>
              <w:adjustRightInd/>
              <w:spacing w:line="240" w:lineRule="auto"/>
              <w:jc w:val="center"/>
              <w:rPr>
                <w:rFonts w:ascii="宋体" w:hAnsi="宋体"/>
                <w:sz w:val="18"/>
                <w:szCs w:val="18"/>
              </w:rPr>
            </w:pPr>
            <w:r>
              <w:rPr>
                <w:rFonts w:hint="eastAsia" w:ascii="宋体" w:hAnsi="宋体"/>
                <w:sz w:val="18"/>
                <w:szCs w:val="18"/>
              </w:rPr>
              <w:t>15%哒螨灵乳油2 000倍液</w:t>
            </w:r>
          </w:p>
        </w:tc>
        <w:tc>
          <w:tcPr>
            <w:tcW w:w="992" w:type="dxa"/>
            <w:vMerge w:val="continue"/>
            <w:tcBorders>
              <w:left w:val="single" w:color="auto" w:sz="4" w:space="0"/>
              <w:bottom w:val="single" w:color="auto" w:sz="4" w:space="0"/>
              <w:right w:val="single" w:color="auto" w:sz="4" w:space="0"/>
            </w:tcBorders>
            <w:shd w:val="clear" w:color="auto" w:fill="auto"/>
            <w:vAlign w:val="center"/>
          </w:tcPr>
          <w:p w14:paraId="34278801">
            <w:pPr>
              <w:widowControl/>
              <w:adjustRightInd/>
              <w:spacing w:line="240" w:lineRule="auto"/>
              <w:jc w:val="center"/>
              <w:rPr>
                <w:rFonts w:ascii="宋体" w:hAnsi="宋体"/>
                <w:sz w:val="18"/>
                <w:szCs w:val="18"/>
              </w:rPr>
            </w:pPr>
          </w:p>
        </w:tc>
        <w:tc>
          <w:tcPr>
            <w:tcW w:w="1134" w:type="dxa"/>
            <w:vMerge w:val="continue"/>
            <w:tcBorders>
              <w:left w:val="single" w:color="auto" w:sz="4" w:space="0"/>
              <w:bottom w:val="single" w:color="auto" w:sz="4" w:space="0"/>
              <w:right w:val="single" w:color="auto" w:sz="8" w:space="0"/>
            </w:tcBorders>
            <w:shd w:val="clear" w:color="auto" w:fill="auto"/>
            <w:vAlign w:val="center"/>
          </w:tcPr>
          <w:p w14:paraId="7F72B8D8">
            <w:pPr>
              <w:widowControl/>
              <w:adjustRightInd/>
              <w:spacing w:line="240" w:lineRule="auto"/>
              <w:jc w:val="center"/>
              <w:rPr>
                <w:rFonts w:ascii="宋体" w:hAnsi="宋体"/>
                <w:sz w:val="18"/>
                <w:szCs w:val="18"/>
              </w:rPr>
            </w:pPr>
          </w:p>
        </w:tc>
      </w:tr>
      <w:tr w14:paraId="4D4004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restart"/>
            <w:tcBorders>
              <w:top w:val="single" w:color="auto" w:sz="4" w:space="0"/>
              <w:left w:val="single" w:color="auto" w:sz="8" w:space="0"/>
              <w:right w:val="single" w:color="auto" w:sz="4" w:space="0"/>
            </w:tcBorders>
            <w:shd w:val="clear" w:color="auto" w:fill="auto"/>
          </w:tcPr>
          <w:p w14:paraId="7C2DC06C">
            <w:pPr>
              <w:widowControl/>
              <w:adjustRightInd/>
              <w:spacing w:line="240" w:lineRule="auto"/>
              <w:jc w:val="center"/>
              <w:rPr>
                <w:rFonts w:ascii="宋体" w:hAnsi="宋体"/>
                <w:sz w:val="18"/>
                <w:szCs w:val="18"/>
              </w:rPr>
            </w:pPr>
            <w:r>
              <w:rPr>
                <w:rFonts w:hint="eastAsia" w:ascii="宋体" w:hAnsi="宋体"/>
                <w:sz w:val="18"/>
                <w:szCs w:val="18"/>
              </w:rPr>
              <w:t>豆荚螟</w:t>
            </w:r>
          </w:p>
        </w:tc>
        <w:tc>
          <w:tcPr>
            <w:tcW w:w="1865" w:type="dxa"/>
            <w:vMerge w:val="restart"/>
            <w:tcBorders>
              <w:top w:val="single" w:color="auto" w:sz="4" w:space="0"/>
              <w:left w:val="single" w:color="auto" w:sz="4" w:space="0"/>
              <w:right w:val="single" w:color="auto" w:sz="4" w:space="0"/>
            </w:tcBorders>
            <w:shd w:val="clear" w:color="auto" w:fill="auto"/>
          </w:tcPr>
          <w:p w14:paraId="75FDF120">
            <w:pPr>
              <w:widowControl/>
              <w:adjustRightInd/>
              <w:spacing w:line="240" w:lineRule="auto"/>
              <w:jc w:val="center"/>
              <w:rPr>
                <w:rFonts w:ascii="宋体" w:hAnsi="宋体"/>
                <w:kern w:val="0"/>
                <w:sz w:val="18"/>
                <w:szCs w:val="18"/>
              </w:rPr>
            </w:pPr>
            <w:r>
              <w:rPr>
                <w:rFonts w:hint="eastAsia" w:ascii="宋体" w:hAnsi="宋体"/>
                <w:sz w:val="18"/>
                <w:szCs w:val="18"/>
              </w:rPr>
              <w:t>花荚期</w:t>
            </w: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665737C6">
            <w:pPr>
              <w:adjustRightInd/>
              <w:spacing w:line="240" w:lineRule="auto"/>
              <w:jc w:val="center"/>
              <w:rPr>
                <w:rFonts w:ascii="宋体" w:hAnsi="宋体"/>
                <w:sz w:val="18"/>
                <w:szCs w:val="18"/>
              </w:rPr>
            </w:pPr>
            <w:r>
              <w:rPr>
                <w:rFonts w:hint="eastAsia" w:ascii="宋体" w:hAnsi="宋体"/>
                <w:sz w:val="18"/>
                <w:szCs w:val="18"/>
              </w:rPr>
              <w:t>2.5%溴氰菊酯乳油4 000倍液</w:t>
            </w:r>
          </w:p>
        </w:tc>
        <w:tc>
          <w:tcPr>
            <w:tcW w:w="992" w:type="dxa"/>
            <w:vMerge w:val="restart"/>
            <w:tcBorders>
              <w:top w:val="single" w:color="auto" w:sz="4" w:space="0"/>
              <w:left w:val="single" w:color="auto" w:sz="4" w:space="0"/>
              <w:right w:val="single" w:color="auto" w:sz="4" w:space="0"/>
            </w:tcBorders>
            <w:shd w:val="clear" w:color="auto" w:fill="auto"/>
          </w:tcPr>
          <w:p w14:paraId="572063D2">
            <w:pPr>
              <w:widowControl/>
              <w:adjustRightInd/>
              <w:spacing w:line="240" w:lineRule="auto"/>
              <w:jc w:val="center"/>
              <w:rPr>
                <w:rFonts w:ascii="宋体" w:hAnsi="宋体"/>
                <w:sz w:val="18"/>
                <w:szCs w:val="18"/>
              </w:rPr>
            </w:pPr>
            <w:r>
              <w:rPr>
                <w:rFonts w:hint="eastAsia" w:ascii="宋体" w:hAnsi="宋体"/>
                <w:sz w:val="18"/>
                <w:szCs w:val="18"/>
              </w:rPr>
              <w:t>喷雾</w:t>
            </w:r>
          </w:p>
        </w:tc>
        <w:tc>
          <w:tcPr>
            <w:tcW w:w="1134" w:type="dxa"/>
            <w:vMerge w:val="restart"/>
            <w:tcBorders>
              <w:top w:val="single" w:color="auto" w:sz="4" w:space="0"/>
              <w:left w:val="single" w:color="auto" w:sz="4" w:space="0"/>
              <w:right w:val="single" w:color="auto" w:sz="8" w:space="0"/>
            </w:tcBorders>
            <w:shd w:val="clear" w:color="auto" w:fill="auto"/>
          </w:tcPr>
          <w:p w14:paraId="25DE5B64">
            <w:pPr>
              <w:widowControl/>
              <w:adjustRightInd/>
              <w:spacing w:line="240" w:lineRule="auto"/>
              <w:jc w:val="center"/>
              <w:rPr>
                <w:rFonts w:ascii="宋体" w:hAnsi="宋体"/>
                <w:sz w:val="18"/>
                <w:szCs w:val="18"/>
              </w:rPr>
            </w:pPr>
            <w:r>
              <w:rPr>
                <w:rFonts w:hint="eastAsia" w:ascii="宋体" w:hAnsi="宋体"/>
                <w:sz w:val="18"/>
                <w:szCs w:val="18"/>
              </w:rPr>
              <w:t>2～3</w:t>
            </w:r>
          </w:p>
        </w:tc>
      </w:tr>
      <w:tr w14:paraId="476ABD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left w:val="single" w:color="auto" w:sz="8" w:space="0"/>
              <w:bottom w:val="single" w:color="auto" w:sz="4" w:space="0"/>
              <w:right w:val="single" w:color="auto" w:sz="4" w:space="0"/>
            </w:tcBorders>
            <w:shd w:val="clear" w:color="auto" w:fill="auto"/>
            <w:vAlign w:val="center"/>
          </w:tcPr>
          <w:p w14:paraId="0858BA2F">
            <w:pPr>
              <w:widowControl/>
              <w:adjustRightInd/>
              <w:spacing w:line="240" w:lineRule="auto"/>
              <w:jc w:val="center"/>
              <w:rPr>
                <w:rFonts w:ascii="宋体" w:hAnsi="宋体"/>
                <w:sz w:val="18"/>
                <w:szCs w:val="18"/>
              </w:rPr>
            </w:pPr>
          </w:p>
        </w:tc>
        <w:tc>
          <w:tcPr>
            <w:tcW w:w="1865" w:type="dxa"/>
            <w:vMerge w:val="continue"/>
            <w:tcBorders>
              <w:left w:val="single" w:color="auto" w:sz="4" w:space="0"/>
              <w:bottom w:val="single" w:color="auto" w:sz="4" w:space="0"/>
              <w:right w:val="single" w:color="auto" w:sz="4" w:space="0"/>
            </w:tcBorders>
            <w:shd w:val="clear" w:color="auto" w:fill="auto"/>
            <w:vAlign w:val="center"/>
          </w:tcPr>
          <w:p w14:paraId="11D77A75">
            <w:pPr>
              <w:widowControl/>
              <w:adjustRightInd/>
              <w:spacing w:line="240" w:lineRule="auto"/>
              <w:jc w:val="center"/>
              <w:rPr>
                <w:rFonts w:ascii="宋体" w:hAnsi="宋体"/>
                <w:kern w:val="0"/>
                <w:sz w:val="18"/>
                <w:szCs w:val="18"/>
              </w:rPr>
            </w:pP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3AD1F0EA">
            <w:pPr>
              <w:adjustRightInd/>
              <w:spacing w:line="240" w:lineRule="auto"/>
              <w:jc w:val="center"/>
              <w:rPr>
                <w:rFonts w:ascii="宋体" w:hAnsi="宋体"/>
                <w:sz w:val="18"/>
                <w:szCs w:val="18"/>
              </w:rPr>
            </w:pPr>
            <w:r>
              <w:rPr>
                <w:rFonts w:hint="eastAsia" w:ascii="宋体" w:hAnsi="宋体"/>
                <w:sz w:val="18"/>
                <w:szCs w:val="18"/>
              </w:rPr>
              <w:t>90%晶体敌百虫700倍～1 000倍液</w:t>
            </w:r>
          </w:p>
        </w:tc>
        <w:tc>
          <w:tcPr>
            <w:tcW w:w="992" w:type="dxa"/>
            <w:vMerge w:val="continue"/>
            <w:tcBorders>
              <w:left w:val="single" w:color="auto" w:sz="4" w:space="0"/>
              <w:bottom w:val="single" w:color="auto" w:sz="4" w:space="0"/>
              <w:right w:val="single" w:color="auto" w:sz="4" w:space="0"/>
            </w:tcBorders>
            <w:shd w:val="clear" w:color="auto" w:fill="auto"/>
            <w:vAlign w:val="center"/>
          </w:tcPr>
          <w:p w14:paraId="1D62B05E">
            <w:pPr>
              <w:widowControl/>
              <w:adjustRightInd/>
              <w:spacing w:line="240" w:lineRule="auto"/>
              <w:jc w:val="center"/>
              <w:rPr>
                <w:rFonts w:ascii="宋体" w:hAnsi="宋体"/>
                <w:sz w:val="18"/>
                <w:szCs w:val="18"/>
              </w:rPr>
            </w:pPr>
          </w:p>
        </w:tc>
        <w:tc>
          <w:tcPr>
            <w:tcW w:w="1134" w:type="dxa"/>
            <w:vMerge w:val="continue"/>
            <w:tcBorders>
              <w:left w:val="single" w:color="auto" w:sz="4" w:space="0"/>
              <w:bottom w:val="single" w:color="auto" w:sz="4" w:space="0"/>
              <w:right w:val="single" w:color="auto" w:sz="8" w:space="0"/>
            </w:tcBorders>
            <w:shd w:val="clear" w:color="auto" w:fill="auto"/>
            <w:vAlign w:val="center"/>
          </w:tcPr>
          <w:p w14:paraId="636C1A7F">
            <w:pPr>
              <w:widowControl/>
              <w:adjustRightInd/>
              <w:spacing w:line="240" w:lineRule="auto"/>
              <w:jc w:val="center"/>
              <w:rPr>
                <w:rFonts w:ascii="宋体" w:hAnsi="宋体"/>
                <w:sz w:val="18"/>
                <w:szCs w:val="18"/>
              </w:rPr>
            </w:pPr>
          </w:p>
        </w:tc>
      </w:tr>
      <w:tr w14:paraId="2A93F3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restart"/>
            <w:tcBorders>
              <w:top w:val="single" w:color="auto" w:sz="4" w:space="0"/>
              <w:left w:val="single" w:color="auto" w:sz="8" w:space="0"/>
              <w:right w:val="single" w:color="auto" w:sz="4" w:space="0"/>
            </w:tcBorders>
            <w:shd w:val="clear" w:color="auto" w:fill="auto"/>
            <w:vAlign w:val="center"/>
          </w:tcPr>
          <w:p w14:paraId="55086A43">
            <w:pPr>
              <w:widowControl/>
              <w:adjustRightInd/>
              <w:spacing w:line="240" w:lineRule="auto"/>
              <w:jc w:val="center"/>
              <w:rPr>
                <w:rFonts w:ascii="宋体" w:hAnsi="宋体"/>
                <w:sz w:val="18"/>
                <w:szCs w:val="18"/>
              </w:rPr>
            </w:pPr>
            <w:r>
              <w:rPr>
                <w:rFonts w:hint="eastAsia" w:ascii="宋体" w:hAnsi="宋体"/>
                <w:sz w:val="18"/>
                <w:szCs w:val="18"/>
              </w:rPr>
              <w:t>豆象</w:t>
            </w:r>
          </w:p>
        </w:tc>
        <w:tc>
          <w:tcPr>
            <w:tcW w:w="1865" w:type="dxa"/>
            <w:tcBorders>
              <w:top w:val="single" w:color="auto" w:sz="4" w:space="0"/>
              <w:left w:val="single" w:color="auto" w:sz="4" w:space="0"/>
              <w:right w:val="single" w:color="auto" w:sz="4" w:space="0"/>
            </w:tcBorders>
            <w:shd w:val="clear" w:color="auto" w:fill="auto"/>
          </w:tcPr>
          <w:p w14:paraId="540858D4">
            <w:pPr>
              <w:widowControl/>
              <w:adjustRightInd/>
              <w:spacing w:line="240" w:lineRule="auto"/>
              <w:jc w:val="center"/>
              <w:rPr>
                <w:rFonts w:ascii="宋体" w:hAnsi="宋体"/>
                <w:kern w:val="0"/>
                <w:sz w:val="18"/>
                <w:szCs w:val="18"/>
              </w:rPr>
            </w:pPr>
            <w:r>
              <w:rPr>
                <w:rFonts w:hint="eastAsia" w:ascii="宋体" w:hAnsi="宋体"/>
                <w:sz w:val="18"/>
                <w:szCs w:val="18"/>
              </w:rPr>
              <w:t>播前</w:t>
            </w: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0B6CD693">
            <w:pPr>
              <w:adjustRightInd/>
              <w:spacing w:line="240" w:lineRule="auto"/>
              <w:jc w:val="center"/>
              <w:rPr>
                <w:rFonts w:ascii="宋体" w:hAnsi="宋体"/>
                <w:sz w:val="18"/>
                <w:szCs w:val="18"/>
              </w:rPr>
            </w:pPr>
            <w:r>
              <w:rPr>
                <w:rFonts w:hint="eastAsia" w:ascii="宋体" w:hAnsi="宋体"/>
                <w:sz w:val="18"/>
                <w:szCs w:val="18"/>
              </w:rPr>
              <w:t>40%的辛硫磷乳油500倍液2 h</w:t>
            </w:r>
          </w:p>
        </w:tc>
        <w:tc>
          <w:tcPr>
            <w:tcW w:w="992" w:type="dxa"/>
            <w:tcBorders>
              <w:top w:val="single" w:color="auto" w:sz="4" w:space="0"/>
              <w:left w:val="single" w:color="auto" w:sz="4" w:space="0"/>
              <w:right w:val="single" w:color="auto" w:sz="4" w:space="0"/>
            </w:tcBorders>
            <w:shd w:val="clear" w:color="auto" w:fill="auto"/>
          </w:tcPr>
          <w:p w14:paraId="2440B5E3">
            <w:pPr>
              <w:widowControl/>
              <w:adjustRightInd/>
              <w:spacing w:line="240" w:lineRule="auto"/>
              <w:jc w:val="center"/>
              <w:rPr>
                <w:rFonts w:ascii="宋体" w:hAnsi="宋体"/>
                <w:sz w:val="18"/>
                <w:szCs w:val="18"/>
              </w:rPr>
            </w:pPr>
            <w:r>
              <w:rPr>
                <w:rFonts w:hint="eastAsia" w:ascii="宋体" w:hAnsi="宋体"/>
                <w:sz w:val="18"/>
                <w:szCs w:val="18"/>
              </w:rPr>
              <w:t>浸种</w:t>
            </w:r>
          </w:p>
        </w:tc>
        <w:tc>
          <w:tcPr>
            <w:tcW w:w="1134" w:type="dxa"/>
            <w:tcBorders>
              <w:top w:val="single" w:color="auto" w:sz="4" w:space="0"/>
              <w:left w:val="single" w:color="auto" w:sz="4" w:space="0"/>
              <w:right w:val="single" w:color="auto" w:sz="8" w:space="0"/>
            </w:tcBorders>
            <w:shd w:val="clear" w:color="auto" w:fill="auto"/>
          </w:tcPr>
          <w:p w14:paraId="7132E888">
            <w:pPr>
              <w:widowControl/>
              <w:adjustRightInd/>
              <w:spacing w:line="240" w:lineRule="auto"/>
              <w:jc w:val="center"/>
              <w:rPr>
                <w:rFonts w:ascii="宋体" w:hAnsi="宋体"/>
                <w:sz w:val="18"/>
                <w:szCs w:val="18"/>
              </w:rPr>
            </w:pPr>
            <w:r>
              <w:rPr>
                <w:rFonts w:hint="eastAsia" w:ascii="宋体" w:hAnsi="宋体"/>
                <w:sz w:val="18"/>
                <w:szCs w:val="18"/>
              </w:rPr>
              <w:t>1</w:t>
            </w:r>
          </w:p>
        </w:tc>
      </w:tr>
      <w:tr w14:paraId="57F2CA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438" w:type="dxa"/>
            <w:vMerge w:val="continue"/>
            <w:tcBorders>
              <w:left w:val="single" w:color="auto" w:sz="8" w:space="0"/>
              <w:bottom w:val="single" w:color="auto" w:sz="4" w:space="0"/>
              <w:right w:val="single" w:color="auto" w:sz="4" w:space="0"/>
            </w:tcBorders>
            <w:shd w:val="clear" w:color="auto" w:fill="auto"/>
            <w:vAlign w:val="center"/>
          </w:tcPr>
          <w:p w14:paraId="271AA7E4">
            <w:pPr>
              <w:widowControl/>
              <w:adjustRightInd/>
              <w:spacing w:line="240" w:lineRule="auto"/>
              <w:jc w:val="center"/>
              <w:rPr>
                <w:rFonts w:ascii="宋体" w:hAnsi="宋体"/>
                <w:sz w:val="18"/>
                <w:szCs w:val="18"/>
              </w:rPr>
            </w:pPr>
          </w:p>
        </w:tc>
        <w:tc>
          <w:tcPr>
            <w:tcW w:w="1865" w:type="dxa"/>
            <w:tcBorders>
              <w:left w:val="single" w:color="auto" w:sz="4" w:space="0"/>
              <w:bottom w:val="single" w:color="auto" w:sz="4" w:space="0"/>
              <w:right w:val="single" w:color="auto" w:sz="4" w:space="0"/>
            </w:tcBorders>
            <w:shd w:val="clear" w:color="auto" w:fill="auto"/>
          </w:tcPr>
          <w:p w14:paraId="47A4D3C6">
            <w:pPr>
              <w:widowControl/>
              <w:adjustRightInd/>
              <w:spacing w:line="240" w:lineRule="auto"/>
              <w:jc w:val="center"/>
              <w:rPr>
                <w:rFonts w:ascii="宋体" w:hAnsi="宋体"/>
                <w:kern w:val="0"/>
                <w:sz w:val="18"/>
                <w:szCs w:val="18"/>
              </w:rPr>
            </w:pPr>
            <w:r>
              <w:rPr>
                <w:rFonts w:hint="eastAsia" w:ascii="宋体" w:hAnsi="宋体"/>
                <w:sz w:val="18"/>
                <w:szCs w:val="18"/>
              </w:rPr>
              <w:t>花荚期</w:t>
            </w:r>
          </w:p>
        </w:tc>
        <w:tc>
          <w:tcPr>
            <w:tcW w:w="3782" w:type="dxa"/>
            <w:tcBorders>
              <w:top w:val="single" w:color="auto" w:sz="4" w:space="0"/>
              <w:left w:val="single" w:color="auto" w:sz="4" w:space="0"/>
              <w:bottom w:val="single" w:color="auto" w:sz="4" w:space="0"/>
              <w:right w:val="single" w:color="auto" w:sz="4" w:space="0"/>
            </w:tcBorders>
            <w:shd w:val="clear" w:color="auto" w:fill="auto"/>
          </w:tcPr>
          <w:p w14:paraId="485624E7">
            <w:pPr>
              <w:adjustRightInd/>
              <w:spacing w:line="240" w:lineRule="auto"/>
              <w:jc w:val="center"/>
              <w:rPr>
                <w:rFonts w:ascii="宋体" w:hAnsi="宋体"/>
                <w:sz w:val="18"/>
                <w:szCs w:val="18"/>
              </w:rPr>
            </w:pPr>
            <w:r>
              <w:rPr>
                <w:rFonts w:hint="eastAsia" w:ascii="宋体" w:hAnsi="宋体"/>
                <w:sz w:val="18"/>
                <w:szCs w:val="18"/>
              </w:rPr>
              <w:t>40%的辛硫磷乳油500倍液</w:t>
            </w:r>
          </w:p>
        </w:tc>
        <w:tc>
          <w:tcPr>
            <w:tcW w:w="992" w:type="dxa"/>
            <w:tcBorders>
              <w:left w:val="single" w:color="auto" w:sz="4" w:space="0"/>
              <w:bottom w:val="single" w:color="auto" w:sz="4" w:space="0"/>
              <w:right w:val="single" w:color="auto" w:sz="4" w:space="0"/>
            </w:tcBorders>
            <w:shd w:val="clear" w:color="auto" w:fill="auto"/>
          </w:tcPr>
          <w:p w14:paraId="4753CC92">
            <w:pPr>
              <w:widowControl/>
              <w:adjustRightInd/>
              <w:spacing w:line="240" w:lineRule="auto"/>
              <w:jc w:val="center"/>
              <w:rPr>
                <w:rFonts w:ascii="宋体" w:hAnsi="宋体"/>
                <w:sz w:val="18"/>
                <w:szCs w:val="18"/>
              </w:rPr>
            </w:pPr>
            <w:r>
              <w:rPr>
                <w:rFonts w:hint="eastAsia" w:ascii="宋体" w:hAnsi="宋体"/>
                <w:sz w:val="18"/>
                <w:szCs w:val="18"/>
              </w:rPr>
              <w:t>喷雾</w:t>
            </w:r>
          </w:p>
        </w:tc>
        <w:tc>
          <w:tcPr>
            <w:tcW w:w="1134" w:type="dxa"/>
            <w:tcBorders>
              <w:left w:val="single" w:color="auto" w:sz="4" w:space="0"/>
              <w:bottom w:val="single" w:color="auto" w:sz="4" w:space="0"/>
              <w:right w:val="single" w:color="auto" w:sz="8" w:space="0"/>
            </w:tcBorders>
            <w:shd w:val="clear" w:color="auto" w:fill="auto"/>
          </w:tcPr>
          <w:p w14:paraId="5B90DBDB">
            <w:pPr>
              <w:widowControl/>
              <w:adjustRightInd/>
              <w:spacing w:line="240" w:lineRule="auto"/>
              <w:jc w:val="center"/>
              <w:rPr>
                <w:rFonts w:ascii="宋体" w:hAnsi="宋体"/>
                <w:sz w:val="18"/>
                <w:szCs w:val="18"/>
              </w:rPr>
            </w:pPr>
            <w:r>
              <w:rPr>
                <w:rFonts w:hint="eastAsia" w:ascii="宋体" w:hAnsi="宋体"/>
                <w:sz w:val="18"/>
                <w:szCs w:val="18"/>
              </w:rPr>
              <w:t>2</w:t>
            </w:r>
          </w:p>
        </w:tc>
      </w:tr>
    </w:tbl>
    <w:p w14:paraId="1DE683EC">
      <w:pPr>
        <w:pStyle w:val="56"/>
        <w:ind w:firstLine="420"/>
      </w:pPr>
    </w:p>
    <w:p w14:paraId="02E7199A">
      <w:pPr>
        <w:pStyle w:val="56"/>
        <w:ind w:firstLine="420"/>
      </w:pPr>
    </w:p>
    <w:p w14:paraId="11E0CE4A">
      <w:pPr>
        <w:pStyle w:val="56"/>
        <w:ind w:firstLine="420"/>
      </w:pPr>
    </w:p>
    <w:p w14:paraId="1EF140DA">
      <w:pPr>
        <w:pStyle w:val="56"/>
        <w:ind w:firstLine="420"/>
      </w:pPr>
    </w:p>
    <w:p w14:paraId="02BC6FAC">
      <w:pPr>
        <w:pStyle w:val="56"/>
        <w:ind w:firstLine="420"/>
        <w:sectPr>
          <w:pgSz w:w="11906" w:h="16838"/>
          <w:pgMar w:top="1928" w:right="1134" w:bottom="1134" w:left="1134" w:header="1418" w:footer="1134" w:gutter="284"/>
          <w:cols w:space="425" w:num="1"/>
          <w:formProt w:val="0"/>
          <w:docGrid w:type="lines" w:linePitch="312" w:charSpace="0"/>
        </w:sectPr>
      </w:pPr>
    </w:p>
    <w:p w14:paraId="0763029A">
      <w:pPr>
        <w:pStyle w:val="198"/>
        <w:rPr>
          <w:vanish w:val="0"/>
        </w:rPr>
      </w:pPr>
    </w:p>
    <w:p w14:paraId="7AD4FA7F">
      <w:pPr>
        <w:pStyle w:val="199"/>
        <w:rPr>
          <w:vanish w:val="0"/>
        </w:rPr>
      </w:pPr>
    </w:p>
    <w:p w14:paraId="22E99B20">
      <w:pPr>
        <w:pStyle w:val="76"/>
        <w:spacing w:after="156"/>
      </w:pPr>
      <w:r>
        <w:br w:type="textWrapping"/>
      </w:r>
      <w:bookmarkStart w:id="136" w:name="_Toc165209718"/>
      <w:bookmarkStart w:id="137" w:name="_Toc164969700"/>
      <w:r>
        <w:rPr>
          <w:rFonts w:hint="eastAsia"/>
        </w:rPr>
        <w:t>（资料性）</w:t>
      </w:r>
      <w:r>
        <w:br w:type="textWrapping"/>
      </w:r>
      <w:r>
        <w:rPr>
          <w:rFonts w:hint="eastAsia"/>
        </w:rPr>
        <w:t>核桃林下套种绿豆生产档案表</w:t>
      </w:r>
      <w:bookmarkEnd w:id="136"/>
      <w:bookmarkEnd w:id="137"/>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2265"/>
        <w:gridCol w:w="2555"/>
        <w:gridCol w:w="2823"/>
      </w:tblGrid>
      <w:tr w14:paraId="3A5D3E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shd w:val="clear" w:color="auto" w:fill="auto"/>
            <w:vAlign w:val="center"/>
          </w:tcPr>
          <w:p w14:paraId="7F1E7DC9">
            <w:pPr>
              <w:pStyle w:val="178"/>
            </w:pPr>
            <w:r>
              <w:rPr>
                <w:rFonts w:hint="eastAsia"/>
              </w:rPr>
              <w:t>序号</w:t>
            </w:r>
          </w:p>
        </w:tc>
        <w:tc>
          <w:tcPr>
            <w:tcW w:w="4820" w:type="dxa"/>
            <w:gridSpan w:val="2"/>
            <w:tcBorders>
              <w:top w:val="single" w:color="auto" w:sz="8" w:space="0"/>
              <w:bottom w:val="single" w:color="auto" w:sz="8" w:space="0"/>
            </w:tcBorders>
            <w:shd w:val="clear" w:color="auto" w:fill="auto"/>
            <w:vAlign w:val="center"/>
          </w:tcPr>
          <w:p w14:paraId="5E7F3A19">
            <w:pPr>
              <w:pStyle w:val="178"/>
            </w:pPr>
            <w:r>
              <w:rPr>
                <w:rFonts w:hint="eastAsia"/>
              </w:rPr>
              <w:t>内容</w:t>
            </w:r>
          </w:p>
        </w:tc>
        <w:tc>
          <w:tcPr>
            <w:tcW w:w="2823" w:type="dxa"/>
            <w:tcBorders>
              <w:top w:val="single" w:color="auto" w:sz="8" w:space="0"/>
              <w:bottom w:val="single" w:color="auto" w:sz="8" w:space="0"/>
            </w:tcBorders>
            <w:shd w:val="clear" w:color="auto" w:fill="auto"/>
            <w:vAlign w:val="center"/>
          </w:tcPr>
          <w:p w14:paraId="37F66862">
            <w:pPr>
              <w:pStyle w:val="178"/>
            </w:pPr>
            <w:r>
              <w:rPr>
                <w:rFonts w:hint="eastAsia"/>
              </w:rPr>
              <w:t>具体措施</w:t>
            </w:r>
          </w:p>
        </w:tc>
      </w:tr>
      <w:tr w14:paraId="5D2C93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shd w:val="clear" w:color="auto" w:fill="auto"/>
            <w:vAlign w:val="center"/>
          </w:tcPr>
          <w:p w14:paraId="10CE581E">
            <w:pPr>
              <w:pStyle w:val="178"/>
            </w:pPr>
            <w:r>
              <w:rPr>
                <w:rFonts w:hint="eastAsia"/>
              </w:rPr>
              <w:t>1</w:t>
            </w:r>
          </w:p>
        </w:tc>
        <w:tc>
          <w:tcPr>
            <w:tcW w:w="4820" w:type="dxa"/>
            <w:gridSpan w:val="2"/>
            <w:tcBorders>
              <w:top w:val="single" w:color="auto" w:sz="8" w:space="0"/>
            </w:tcBorders>
            <w:shd w:val="clear" w:color="auto" w:fill="auto"/>
            <w:vAlign w:val="center"/>
          </w:tcPr>
          <w:p w14:paraId="314082F9">
            <w:pPr>
              <w:pStyle w:val="178"/>
            </w:pPr>
            <w:r>
              <w:rPr>
                <w:rFonts w:hint="eastAsia"/>
              </w:rPr>
              <w:t>产地</w:t>
            </w:r>
          </w:p>
        </w:tc>
        <w:tc>
          <w:tcPr>
            <w:tcW w:w="2823" w:type="dxa"/>
            <w:tcBorders>
              <w:top w:val="single" w:color="auto" w:sz="8" w:space="0"/>
            </w:tcBorders>
            <w:shd w:val="clear" w:color="auto" w:fill="auto"/>
            <w:vAlign w:val="center"/>
          </w:tcPr>
          <w:p w14:paraId="56CCA05C">
            <w:pPr>
              <w:pStyle w:val="178"/>
            </w:pPr>
          </w:p>
        </w:tc>
      </w:tr>
      <w:tr w14:paraId="0AF160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14:paraId="47FE11DD">
            <w:pPr>
              <w:pStyle w:val="178"/>
            </w:pPr>
            <w:r>
              <w:rPr>
                <w:rFonts w:hint="eastAsia"/>
              </w:rPr>
              <w:t>2</w:t>
            </w:r>
          </w:p>
        </w:tc>
        <w:tc>
          <w:tcPr>
            <w:tcW w:w="4820" w:type="dxa"/>
            <w:gridSpan w:val="2"/>
            <w:shd w:val="clear" w:color="auto" w:fill="auto"/>
            <w:vAlign w:val="center"/>
          </w:tcPr>
          <w:p w14:paraId="3EB122C9">
            <w:pPr>
              <w:pStyle w:val="178"/>
            </w:pPr>
            <w:r>
              <w:rPr>
                <w:rFonts w:hint="eastAsia"/>
              </w:rPr>
              <w:t>种植品种</w:t>
            </w:r>
          </w:p>
        </w:tc>
        <w:tc>
          <w:tcPr>
            <w:tcW w:w="2823" w:type="dxa"/>
            <w:shd w:val="clear" w:color="auto" w:fill="auto"/>
            <w:vAlign w:val="center"/>
          </w:tcPr>
          <w:p w14:paraId="7B852C53">
            <w:pPr>
              <w:pStyle w:val="178"/>
            </w:pPr>
          </w:p>
        </w:tc>
      </w:tr>
      <w:tr w14:paraId="45E57B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14:paraId="3F03EA77">
            <w:pPr>
              <w:pStyle w:val="178"/>
            </w:pPr>
            <w:r>
              <w:rPr>
                <w:rFonts w:hint="eastAsia"/>
              </w:rPr>
              <w:t>3</w:t>
            </w:r>
          </w:p>
        </w:tc>
        <w:tc>
          <w:tcPr>
            <w:tcW w:w="4820" w:type="dxa"/>
            <w:gridSpan w:val="2"/>
            <w:shd w:val="clear" w:color="auto" w:fill="auto"/>
            <w:vAlign w:val="center"/>
          </w:tcPr>
          <w:p w14:paraId="47288907">
            <w:pPr>
              <w:pStyle w:val="178"/>
            </w:pPr>
            <w:r>
              <w:rPr>
                <w:rFonts w:hint="eastAsia"/>
              </w:rPr>
              <w:t>播期</w:t>
            </w:r>
          </w:p>
        </w:tc>
        <w:tc>
          <w:tcPr>
            <w:tcW w:w="2823" w:type="dxa"/>
            <w:shd w:val="clear" w:color="auto" w:fill="auto"/>
            <w:vAlign w:val="center"/>
          </w:tcPr>
          <w:p w14:paraId="2B0CA05F">
            <w:pPr>
              <w:pStyle w:val="178"/>
            </w:pPr>
          </w:p>
        </w:tc>
      </w:tr>
      <w:tr w14:paraId="3315FB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14:paraId="526928AA">
            <w:pPr>
              <w:pStyle w:val="178"/>
            </w:pPr>
            <w:r>
              <w:rPr>
                <w:rFonts w:hint="eastAsia"/>
              </w:rPr>
              <w:t>4</w:t>
            </w:r>
          </w:p>
        </w:tc>
        <w:tc>
          <w:tcPr>
            <w:tcW w:w="4820" w:type="dxa"/>
            <w:gridSpan w:val="2"/>
            <w:shd w:val="clear" w:color="auto" w:fill="auto"/>
            <w:vAlign w:val="center"/>
          </w:tcPr>
          <w:p w14:paraId="46ACC2FB">
            <w:pPr>
              <w:pStyle w:val="178"/>
            </w:pPr>
            <w:r>
              <w:rPr>
                <w:rFonts w:hint="eastAsia"/>
              </w:rPr>
              <w:t>播种方式</w:t>
            </w:r>
          </w:p>
        </w:tc>
        <w:tc>
          <w:tcPr>
            <w:tcW w:w="2823" w:type="dxa"/>
            <w:shd w:val="clear" w:color="auto" w:fill="auto"/>
            <w:vAlign w:val="center"/>
          </w:tcPr>
          <w:p w14:paraId="253FDB29">
            <w:pPr>
              <w:pStyle w:val="178"/>
            </w:pPr>
          </w:p>
        </w:tc>
      </w:tr>
      <w:tr w14:paraId="7E70EC4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14:paraId="0F72DD93">
            <w:pPr>
              <w:pStyle w:val="178"/>
            </w:pPr>
            <w:r>
              <w:rPr>
                <w:rFonts w:hint="eastAsia"/>
              </w:rPr>
              <w:t>5</w:t>
            </w:r>
          </w:p>
        </w:tc>
        <w:tc>
          <w:tcPr>
            <w:tcW w:w="4820" w:type="dxa"/>
            <w:gridSpan w:val="2"/>
            <w:shd w:val="clear" w:color="auto" w:fill="auto"/>
            <w:vAlign w:val="center"/>
          </w:tcPr>
          <w:p w14:paraId="7BA79281">
            <w:pPr>
              <w:pStyle w:val="178"/>
            </w:pPr>
            <w:r>
              <w:rPr>
                <w:rFonts w:hint="eastAsia"/>
              </w:rPr>
              <w:t>出苗期</w:t>
            </w:r>
          </w:p>
        </w:tc>
        <w:tc>
          <w:tcPr>
            <w:tcW w:w="2823" w:type="dxa"/>
            <w:shd w:val="clear" w:color="auto" w:fill="auto"/>
            <w:vAlign w:val="center"/>
          </w:tcPr>
          <w:p w14:paraId="0BCA159A">
            <w:pPr>
              <w:pStyle w:val="178"/>
            </w:pPr>
          </w:p>
        </w:tc>
      </w:tr>
      <w:tr w14:paraId="4473E7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14:paraId="175B85FA">
            <w:pPr>
              <w:pStyle w:val="178"/>
            </w:pPr>
            <w:r>
              <w:rPr>
                <w:rFonts w:hint="eastAsia"/>
              </w:rPr>
              <w:t>6</w:t>
            </w:r>
          </w:p>
        </w:tc>
        <w:tc>
          <w:tcPr>
            <w:tcW w:w="4820" w:type="dxa"/>
            <w:gridSpan w:val="2"/>
            <w:shd w:val="clear" w:color="auto" w:fill="auto"/>
            <w:vAlign w:val="center"/>
          </w:tcPr>
          <w:p w14:paraId="3A22F725">
            <w:pPr>
              <w:pStyle w:val="178"/>
            </w:pPr>
            <w:r>
              <w:rPr>
                <w:rFonts w:hint="eastAsia"/>
              </w:rPr>
              <w:t>开花期</w:t>
            </w:r>
          </w:p>
        </w:tc>
        <w:tc>
          <w:tcPr>
            <w:tcW w:w="2823" w:type="dxa"/>
            <w:shd w:val="clear" w:color="auto" w:fill="auto"/>
            <w:vAlign w:val="center"/>
          </w:tcPr>
          <w:p w14:paraId="779E62F9">
            <w:pPr>
              <w:pStyle w:val="178"/>
            </w:pPr>
          </w:p>
        </w:tc>
      </w:tr>
      <w:tr w14:paraId="68181E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shd w:val="clear" w:color="auto" w:fill="auto"/>
            <w:vAlign w:val="center"/>
          </w:tcPr>
          <w:p w14:paraId="4B36BEF7">
            <w:pPr>
              <w:pStyle w:val="178"/>
            </w:pPr>
            <w:r>
              <w:rPr>
                <w:rFonts w:hint="eastAsia"/>
              </w:rPr>
              <w:t>7</w:t>
            </w:r>
          </w:p>
        </w:tc>
        <w:tc>
          <w:tcPr>
            <w:tcW w:w="4820" w:type="dxa"/>
            <w:gridSpan w:val="2"/>
            <w:shd w:val="clear" w:color="auto" w:fill="auto"/>
            <w:vAlign w:val="center"/>
          </w:tcPr>
          <w:p w14:paraId="74392202">
            <w:pPr>
              <w:pStyle w:val="178"/>
            </w:pPr>
            <w:r>
              <w:rPr>
                <w:rFonts w:hint="eastAsia"/>
              </w:rPr>
              <w:t>成熟期</w:t>
            </w:r>
          </w:p>
        </w:tc>
        <w:tc>
          <w:tcPr>
            <w:tcW w:w="2823" w:type="dxa"/>
            <w:shd w:val="clear" w:color="auto" w:fill="auto"/>
            <w:vAlign w:val="center"/>
          </w:tcPr>
          <w:p w14:paraId="1B2BB566">
            <w:pPr>
              <w:pStyle w:val="178"/>
            </w:pPr>
          </w:p>
        </w:tc>
      </w:tr>
      <w:tr w14:paraId="3556F6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6" w:hRule="atLeast"/>
          <w:jc w:val="center"/>
        </w:trPr>
        <w:tc>
          <w:tcPr>
            <w:tcW w:w="1691" w:type="dxa"/>
            <w:vMerge w:val="restart"/>
            <w:shd w:val="clear" w:color="auto" w:fill="auto"/>
            <w:vAlign w:val="center"/>
          </w:tcPr>
          <w:p w14:paraId="6FB8A57D">
            <w:pPr>
              <w:pStyle w:val="178"/>
            </w:pPr>
            <w:r>
              <w:rPr>
                <w:rFonts w:hint="eastAsia"/>
              </w:rPr>
              <w:t>8</w:t>
            </w:r>
          </w:p>
        </w:tc>
        <w:tc>
          <w:tcPr>
            <w:tcW w:w="2265" w:type="dxa"/>
            <w:vMerge w:val="restart"/>
            <w:shd w:val="clear" w:color="auto" w:fill="auto"/>
            <w:vAlign w:val="center"/>
          </w:tcPr>
          <w:p w14:paraId="546EAB13">
            <w:pPr>
              <w:pStyle w:val="178"/>
            </w:pPr>
            <w:r>
              <w:rPr>
                <w:rFonts w:hint="eastAsia"/>
              </w:rPr>
              <w:t>施肥</w:t>
            </w:r>
          </w:p>
        </w:tc>
        <w:tc>
          <w:tcPr>
            <w:tcW w:w="2555" w:type="dxa"/>
            <w:shd w:val="clear" w:color="auto" w:fill="auto"/>
            <w:vAlign w:val="center"/>
          </w:tcPr>
          <w:p w14:paraId="76B6327F">
            <w:pPr>
              <w:pStyle w:val="178"/>
            </w:pPr>
            <w:r>
              <w:rPr>
                <w:rFonts w:hint="eastAsia"/>
              </w:rPr>
              <w:t>基肥种类</w:t>
            </w:r>
            <w:r>
              <w:t>、数量、时间</w:t>
            </w:r>
          </w:p>
        </w:tc>
        <w:tc>
          <w:tcPr>
            <w:tcW w:w="2823" w:type="dxa"/>
            <w:vMerge w:val="restart"/>
            <w:shd w:val="clear" w:color="auto" w:fill="auto"/>
            <w:vAlign w:val="center"/>
          </w:tcPr>
          <w:p w14:paraId="795AC276">
            <w:pPr>
              <w:pStyle w:val="178"/>
            </w:pPr>
          </w:p>
        </w:tc>
      </w:tr>
      <w:tr w14:paraId="4C08E0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6" w:hRule="atLeast"/>
          <w:jc w:val="center"/>
        </w:trPr>
        <w:tc>
          <w:tcPr>
            <w:tcW w:w="1691" w:type="dxa"/>
            <w:vMerge w:val="continue"/>
            <w:shd w:val="clear" w:color="auto" w:fill="auto"/>
            <w:vAlign w:val="center"/>
          </w:tcPr>
          <w:p w14:paraId="0D4EFE5D">
            <w:pPr>
              <w:pStyle w:val="178"/>
            </w:pPr>
          </w:p>
        </w:tc>
        <w:tc>
          <w:tcPr>
            <w:tcW w:w="2265" w:type="dxa"/>
            <w:vMerge w:val="continue"/>
            <w:shd w:val="clear" w:color="auto" w:fill="auto"/>
            <w:vAlign w:val="center"/>
          </w:tcPr>
          <w:p w14:paraId="6A7DC111">
            <w:pPr>
              <w:pStyle w:val="178"/>
            </w:pPr>
          </w:p>
        </w:tc>
        <w:tc>
          <w:tcPr>
            <w:tcW w:w="2555" w:type="dxa"/>
            <w:shd w:val="clear" w:color="auto" w:fill="auto"/>
            <w:vAlign w:val="center"/>
          </w:tcPr>
          <w:p w14:paraId="204C6351">
            <w:pPr>
              <w:pStyle w:val="178"/>
            </w:pPr>
            <w:r>
              <w:rPr>
                <w:rFonts w:hint="eastAsia"/>
              </w:rPr>
              <w:t>追肥种类</w:t>
            </w:r>
            <w:r>
              <w:t>、数量、时间</w:t>
            </w:r>
          </w:p>
        </w:tc>
        <w:tc>
          <w:tcPr>
            <w:tcW w:w="2823" w:type="dxa"/>
            <w:vMerge w:val="continue"/>
            <w:shd w:val="clear" w:color="auto" w:fill="auto"/>
            <w:vAlign w:val="center"/>
          </w:tcPr>
          <w:p w14:paraId="22004BB9">
            <w:pPr>
              <w:pStyle w:val="178"/>
            </w:pPr>
          </w:p>
        </w:tc>
      </w:tr>
      <w:tr w14:paraId="5A6B04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6" w:hRule="atLeast"/>
          <w:jc w:val="center"/>
        </w:trPr>
        <w:tc>
          <w:tcPr>
            <w:tcW w:w="1691" w:type="dxa"/>
            <w:vMerge w:val="restart"/>
            <w:shd w:val="clear" w:color="auto" w:fill="auto"/>
            <w:vAlign w:val="center"/>
          </w:tcPr>
          <w:p w14:paraId="66BFBFA8">
            <w:pPr>
              <w:pStyle w:val="178"/>
            </w:pPr>
            <w:r>
              <w:rPr>
                <w:rFonts w:hint="eastAsia"/>
              </w:rPr>
              <w:t>9</w:t>
            </w:r>
          </w:p>
        </w:tc>
        <w:tc>
          <w:tcPr>
            <w:tcW w:w="2265" w:type="dxa"/>
            <w:vMerge w:val="restart"/>
            <w:shd w:val="clear" w:color="auto" w:fill="auto"/>
            <w:vAlign w:val="center"/>
          </w:tcPr>
          <w:p w14:paraId="325EC799">
            <w:pPr>
              <w:pStyle w:val="178"/>
            </w:pPr>
            <w:r>
              <w:rPr>
                <w:rFonts w:hint="eastAsia"/>
              </w:rPr>
              <w:t>浇水</w:t>
            </w:r>
          </w:p>
        </w:tc>
        <w:tc>
          <w:tcPr>
            <w:tcW w:w="2555" w:type="dxa"/>
            <w:shd w:val="clear" w:color="auto" w:fill="auto"/>
            <w:vAlign w:val="center"/>
          </w:tcPr>
          <w:p w14:paraId="48361ED9">
            <w:pPr>
              <w:pStyle w:val="178"/>
            </w:pPr>
            <w:r>
              <w:rPr>
                <w:rFonts w:hint="eastAsia"/>
              </w:rPr>
              <w:t>时间</w:t>
            </w:r>
          </w:p>
        </w:tc>
        <w:tc>
          <w:tcPr>
            <w:tcW w:w="2823" w:type="dxa"/>
            <w:vMerge w:val="restart"/>
            <w:shd w:val="clear" w:color="auto" w:fill="auto"/>
            <w:vAlign w:val="center"/>
          </w:tcPr>
          <w:p w14:paraId="2765E79A">
            <w:pPr>
              <w:pStyle w:val="178"/>
            </w:pPr>
          </w:p>
        </w:tc>
      </w:tr>
      <w:tr w14:paraId="587999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6" w:hRule="atLeast"/>
          <w:jc w:val="center"/>
        </w:trPr>
        <w:tc>
          <w:tcPr>
            <w:tcW w:w="1691" w:type="dxa"/>
            <w:vMerge w:val="continue"/>
            <w:shd w:val="clear" w:color="auto" w:fill="auto"/>
            <w:vAlign w:val="center"/>
          </w:tcPr>
          <w:p w14:paraId="06F8BC06">
            <w:pPr>
              <w:pStyle w:val="178"/>
            </w:pPr>
          </w:p>
        </w:tc>
        <w:tc>
          <w:tcPr>
            <w:tcW w:w="2265" w:type="dxa"/>
            <w:vMerge w:val="continue"/>
            <w:shd w:val="clear" w:color="auto" w:fill="auto"/>
            <w:vAlign w:val="center"/>
          </w:tcPr>
          <w:p w14:paraId="30BEC691">
            <w:pPr>
              <w:pStyle w:val="178"/>
            </w:pPr>
          </w:p>
        </w:tc>
        <w:tc>
          <w:tcPr>
            <w:tcW w:w="2555" w:type="dxa"/>
            <w:shd w:val="clear" w:color="auto" w:fill="auto"/>
            <w:vAlign w:val="center"/>
          </w:tcPr>
          <w:p w14:paraId="5B4A4175">
            <w:pPr>
              <w:pStyle w:val="178"/>
            </w:pPr>
            <w:r>
              <w:rPr>
                <w:rFonts w:hint="eastAsia"/>
              </w:rPr>
              <w:t>次数</w:t>
            </w:r>
          </w:p>
        </w:tc>
        <w:tc>
          <w:tcPr>
            <w:tcW w:w="2823" w:type="dxa"/>
            <w:vMerge w:val="continue"/>
            <w:shd w:val="clear" w:color="auto" w:fill="auto"/>
            <w:vAlign w:val="center"/>
          </w:tcPr>
          <w:p w14:paraId="4145B629">
            <w:pPr>
              <w:pStyle w:val="178"/>
            </w:pPr>
          </w:p>
        </w:tc>
      </w:tr>
      <w:tr w14:paraId="7B4633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4" w:hRule="atLeast"/>
          <w:jc w:val="center"/>
        </w:trPr>
        <w:tc>
          <w:tcPr>
            <w:tcW w:w="1691" w:type="dxa"/>
            <w:vMerge w:val="restart"/>
            <w:shd w:val="clear" w:color="auto" w:fill="auto"/>
            <w:vAlign w:val="center"/>
          </w:tcPr>
          <w:p w14:paraId="7D052C34">
            <w:pPr>
              <w:pStyle w:val="178"/>
            </w:pPr>
            <w:r>
              <w:rPr>
                <w:rFonts w:hint="eastAsia"/>
              </w:rPr>
              <w:t>10</w:t>
            </w:r>
          </w:p>
        </w:tc>
        <w:tc>
          <w:tcPr>
            <w:tcW w:w="2265" w:type="dxa"/>
            <w:vMerge w:val="restart"/>
            <w:shd w:val="clear" w:color="auto" w:fill="auto"/>
            <w:vAlign w:val="center"/>
          </w:tcPr>
          <w:p w14:paraId="49CA90DC">
            <w:pPr>
              <w:pStyle w:val="178"/>
            </w:pPr>
            <w:r>
              <w:rPr>
                <w:rFonts w:hint="eastAsia"/>
              </w:rPr>
              <w:t>病虫害</w:t>
            </w:r>
            <w:r>
              <w:t>防治</w:t>
            </w:r>
          </w:p>
        </w:tc>
        <w:tc>
          <w:tcPr>
            <w:tcW w:w="2555" w:type="dxa"/>
            <w:shd w:val="clear" w:color="auto" w:fill="auto"/>
            <w:vAlign w:val="center"/>
          </w:tcPr>
          <w:p w14:paraId="3BB49ED9">
            <w:pPr>
              <w:pStyle w:val="178"/>
            </w:pPr>
            <w:r>
              <w:rPr>
                <w:rFonts w:hint="eastAsia"/>
              </w:rPr>
              <w:t>病害种类</w:t>
            </w:r>
            <w:r>
              <w:t>与防治方法</w:t>
            </w:r>
          </w:p>
        </w:tc>
        <w:tc>
          <w:tcPr>
            <w:tcW w:w="2823" w:type="dxa"/>
            <w:vMerge w:val="restart"/>
            <w:shd w:val="clear" w:color="auto" w:fill="auto"/>
            <w:vAlign w:val="center"/>
          </w:tcPr>
          <w:p w14:paraId="0DD7B0D0">
            <w:pPr>
              <w:pStyle w:val="178"/>
            </w:pPr>
          </w:p>
        </w:tc>
      </w:tr>
      <w:tr w14:paraId="0E66D5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4" w:hRule="atLeast"/>
          <w:jc w:val="center"/>
        </w:trPr>
        <w:tc>
          <w:tcPr>
            <w:tcW w:w="1691" w:type="dxa"/>
            <w:vMerge w:val="continue"/>
            <w:shd w:val="clear" w:color="auto" w:fill="auto"/>
            <w:vAlign w:val="center"/>
          </w:tcPr>
          <w:p w14:paraId="6E5186E0">
            <w:pPr>
              <w:pStyle w:val="178"/>
            </w:pPr>
          </w:p>
        </w:tc>
        <w:tc>
          <w:tcPr>
            <w:tcW w:w="2265" w:type="dxa"/>
            <w:vMerge w:val="continue"/>
            <w:shd w:val="clear" w:color="auto" w:fill="auto"/>
            <w:vAlign w:val="center"/>
          </w:tcPr>
          <w:p w14:paraId="4CB88F7B">
            <w:pPr>
              <w:pStyle w:val="178"/>
            </w:pPr>
          </w:p>
        </w:tc>
        <w:tc>
          <w:tcPr>
            <w:tcW w:w="2555" w:type="dxa"/>
            <w:shd w:val="clear" w:color="auto" w:fill="auto"/>
            <w:vAlign w:val="center"/>
          </w:tcPr>
          <w:p w14:paraId="79100567">
            <w:pPr>
              <w:pStyle w:val="178"/>
            </w:pPr>
            <w:r>
              <w:rPr>
                <w:rFonts w:hint="eastAsia"/>
              </w:rPr>
              <w:t>虫害种类</w:t>
            </w:r>
            <w:r>
              <w:t>与防治方法</w:t>
            </w:r>
          </w:p>
        </w:tc>
        <w:tc>
          <w:tcPr>
            <w:tcW w:w="2823" w:type="dxa"/>
            <w:vMerge w:val="continue"/>
            <w:shd w:val="clear" w:color="auto" w:fill="auto"/>
            <w:vAlign w:val="center"/>
          </w:tcPr>
          <w:p w14:paraId="2C48E771">
            <w:pPr>
              <w:pStyle w:val="178"/>
            </w:pPr>
          </w:p>
        </w:tc>
      </w:tr>
      <w:tr w14:paraId="272595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4" w:hRule="atLeast"/>
          <w:jc w:val="center"/>
        </w:trPr>
        <w:tc>
          <w:tcPr>
            <w:tcW w:w="1691" w:type="dxa"/>
            <w:shd w:val="clear" w:color="auto" w:fill="auto"/>
            <w:vAlign w:val="center"/>
          </w:tcPr>
          <w:p w14:paraId="24988175">
            <w:pPr>
              <w:pStyle w:val="178"/>
            </w:pPr>
            <w:r>
              <w:rPr>
                <w:rFonts w:hint="eastAsia"/>
              </w:rPr>
              <w:t>11</w:t>
            </w:r>
          </w:p>
        </w:tc>
        <w:tc>
          <w:tcPr>
            <w:tcW w:w="4820" w:type="dxa"/>
            <w:gridSpan w:val="2"/>
            <w:shd w:val="clear" w:color="auto" w:fill="auto"/>
            <w:vAlign w:val="center"/>
          </w:tcPr>
          <w:p w14:paraId="72F3DA4F">
            <w:pPr>
              <w:pStyle w:val="178"/>
            </w:pPr>
            <w:r>
              <w:rPr>
                <w:rFonts w:hint="eastAsia"/>
              </w:rPr>
              <w:t>收获</w:t>
            </w:r>
          </w:p>
        </w:tc>
        <w:tc>
          <w:tcPr>
            <w:tcW w:w="2823" w:type="dxa"/>
            <w:shd w:val="clear" w:color="auto" w:fill="auto"/>
            <w:vAlign w:val="center"/>
          </w:tcPr>
          <w:p w14:paraId="7C5251EB">
            <w:pPr>
              <w:pStyle w:val="178"/>
            </w:pPr>
          </w:p>
        </w:tc>
      </w:tr>
    </w:tbl>
    <w:p w14:paraId="5B8CB17A">
      <w:pPr>
        <w:pStyle w:val="56"/>
        <w:ind w:firstLine="420"/>
      </w:pPr>
    </w:p>
    <w:p w14:paraId="362DF5AF">
      <w:pPr>
        <w:pStyle w:val="198"/>
        <w:rPr>
          <w:vanish w:val="0"/>
        </w:rPr>
      </w:pPr>
      <w:bookmarkStart w:id="138" w:name="_Toc164937278"/>
      <w:bookmarkEnd w:id="138"/>
      <w:bookmarkStart w:id="139" w:name="_Toc164937275"/>
      <w:bookmarkEnd w:id="139"/>
    </w:p>
    <w:p w14:paraId="6451833C">
      <w:pPr>
        <w:pStyle w:val="199"/>
        <w:numPr>
          <w:ilvl w:val="0"/>
          <w:numId w:val="0"/>
        </w:numPr>
        <w:jc w:val="both"/>
        <w:rPr>
          <w:vanish w:val="0"/>
        </w:rPr>
      </w:pPr>
      <w:bookmarkStart w:id="140" w:name="_Toc164937281"/>
      <w:bookmarkEnd w:id="140"/>
      <w:bookmarkStart w:id="141" w:name="_Toc164968427"/>
      <w:bookmarkEnd w:id="141"/>
      <w:bookmarkStart w:id="142" w:name="_Toc164968240"/>
      <w:bookmarkEnd w:id="142"/>
    </w:p>
    <w:bookmarkEnd w:id="131"/>
    <w:p w14:paraId="50868F84">
      <w:pPr>
        <w:pStyle w:val="56"/>
        <w:ind w:firstLine="0" w:firstLineChars="0"/>
        <w:jc w:val="center"/>
      </w:pPr>
      <w:bookmarkStart w:id="143" w:name="BookMark8"/>
      <w:r>
        <w:drawing>
          <wp:inline distT="0" distB="0" distL="0" distR="0">
            <wp:extent cx="1485900" cy="317500"/>
            <wp:effectExtent l="0" t="0" r="0" b="6350"/>
            <wp:docPr id="1233545683" name="图片 1"/>
            <wp:cNvGraphicFramePr/>
            <a:graphic xmlns:a="http://schemas.openxmlformats.org/drawingml/2006/main">
              <a:graphicData uri="http://schemas.openxmlformats.org/drawingml/2006/picture">
                <pic:pic xmlns:pic="http://schemas.openxmlformats.org/drawingml/2006/picture">
                  <pic:nvPicPr>
                    <pic:cNvPr id="1233545683"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3"/>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896BB">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6E3D8">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F11E8C">
    <w:pPr>
      <w:pStyle w:val="52"/>
    </w:pPr>
    <w:r>
      <w:fldChar w:fldCharType="begin"/>
    </w:r>
    <w:r>
      <w:instrText xml:space="preserve">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65522">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E27D9">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F2F1E">
    <w:pPr>
      <w:pStyle w:val="61"/>
    </w:pPr>
    <w:r>
      <w:fldChar w:fldCharType="begin"/>
    </w:r>
    <w:r>
      <w:instrText xml:space="preserve"> STYLEREF  标准文件_文件编号  \* MERGEFORMAT </w:instrText>
    </w:r>
    <w:r>
      <w:fldChar w:fldCharType="separate"/>
    </w:r>
    <w:r>
      <w:t>DB14/T 1599—XXXX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566B9">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DB14/T 1599—XXXX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QfQH1+SY8qRvDpQMAjhe7Dyot2xeJYrzhDqsDz5GsX6ugTsTCkxYey/2QqkLYp1q4NKYeXWjM0BHU+YcPqIcgg==" w:salt="6RzRIowZRXqhxWgIuUK8S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U3ZjEyZDU5OGFkNmVlYjc1YmE2NWI5YWJkNWQxNjMifQ=="/>
  </w:docVars>
  <w:rsids>
    <w:rsidRoot w:val="0057001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77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1035"/>
    <w:rsid w:val="0017340B"/>
    <w:rsid w:val="00173FB1"/>
    <w:rsid w:val="0017695D"/>
    <w:rsid w:val="00176DFD"/>
    <w:rsid w:val="001852C9"/>
    <w:rsid w:val="00190087"/>
    <w:rsid w:val="001913C4"/>
    <w:rsid w:val="0019348F"/>
    <w:rsid w:val="00193A07"/>
    <w:rsid w:val="00194C95"/>
    <w:rsid w:val="00195C34"/>
    <w:rsid w:val="00196EF5"/>
    <w:rsid w:val="001A1A53"/>
    <w:rsid w:val="001A234A"/>
    <w:rsid w:val="001A4CF3"/>
    <w:rsid w:val="001B06E8"/>
    <w:rsid w:val="001B09C8"/>
    <w:rsid w:val="001B71D0"/>
    <w:rsid w:val="001B71EE"/>
    <w:rsid w:val="001C04A8"/>
    <w:rsid w:val="001C0A6C"/>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254A"/>
    <w:rsid w:val="002E4D5A"/>
    <w:rsid w:val="002E6326"/>
    <w:rsid w:val="002F30E0"/>
    <w:rsid w:val="002F35E4"/>
    <w:rsid w:val="002F3730"/>
    <w:rsid w:val="002F38E1"/>
    <w:rsid w:val="002F7AF6"/>
    <w:rsid w:val="00300E63"/>
    <w:rsid w:val="00302F5F"/>
    <w:rsid w:val="0030441D"/>
    <w:rsid w:val="003054F8"/>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565AB"/>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F89"/>
    <w:rsid w:val="00394376"/>
    <w:rsid w:val="003943FF"/>
    <w:rsid w:val="00395700"/>
    <w:rsid w:val="003974EB"/>
    <w:rsid w:val="00397CC5"/>
    <w:rsid w:val="003A1582"/>
    <w:rsid w:val="003A4077"/>
    <w:rsid w:val="003B09AD"/>
    <w:rsid w:val="003B1F18"/>
    <w:rsid w:val="003B357C"/>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1E35"/>
    <w:rsid w:val="003F23D3"/>
    <w:rsid w:val="003F3F08"/>
    <w:rsid w:val="003F49F1"/>
    <w:rsid w:val="003F54C2"/>
    <w:rsid w:val="003F6272"/>
    <w:rsid w:val="00400E72"/>
    <w:rsid w:val="00401400"/>
    <w:rsid w:val="00404869"/>
    <w:rsid w:val="00405884"/>
    <w:rsid w:val="00407D39"/>
    <w:rsid w:val="0041477A"/>
    <w:rsid w:val="004167A3"/>
    <w:rsid w:val="00432DAA"/>
    <w:rsid w:val="00434305"/>
    <w:rsid w:val="00435DF7"/>
    <w:rsid w:val="0044083F"/>
    <w:rsid w:val="00441AE7"/>
    <w:rsid w:val="00442FD4"/>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8A4"/>
    <w:rsid w:val="00555044"/>
    <w:rsid w:val="00561475"/>
    <w:rsid w:val="0056487B"/>
    <w:rsid w:val="00564FB9"/>
    <w:rsid w:val="00570010"/>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26AC"/>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011"/>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59E"/>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E2E"/>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41"/>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767"/>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5544"/>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26D"/>
    <w:rsid w:val="00A30EFC"/>
    <w:rsid w:val="00A31984"/>
    <w:rsid w:val="00A32285"/>
    <w:rsid w:val="00A32D73"/>
    <w:rsid w:val="00A3367B"/>
    <w:rsid w:val="00A34AE2"/>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B47"/>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55C"/>
    <w:rsid w:val="00AF0C18"/>
    <w:rsid w:val="00AF47C5"/>
    <w:rsid w:val="00AF5398"/>
    <w:rsid w:val="00B018D8"/>
    <w:rsid w:val="00B049AF"/>
    <w:rsid w:val="00B07242"/>
    <w:rsid w:val="00B10534"/>
    <w:rsid w:val="00B113DB"/>
    <w:rsid w:val="00B11D8A"/>
    <w:rsid w:val="00B12981"/>
    <w:rsid w:val="00B147DD"/>
    <w:rsid w:val="00B156FD"/>
    <w:rsid w:val="00B21F61"/>
    <w:rsid w:val="00B261F1"/>
    <w:rsid w:val="00B265BC"/>
    <w:rsid w:val="00B31FB1"/>
    <w:rsid w:val="00B336E9"/>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3ED4"/>
    <w:rsid w:val="00C34C20"/>
    <w:rsid w:val="00C35A3E"/>
    <w:rsid w:val="00C42130"/>
    <w:rsid w:val="00C423A4"/>
    <w:rsid w:val="00C44BF5"/>
    <w:rsid w:val="00C5037B"/>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74C"/>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29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2CE3"/>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5D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54A2"/>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464"/>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3178"/>
    <w:rsid w:val="00EC5359"/>
    <w:rsid w:val="00EC562A"/>
    <w:rsid w:val="00ED067A"/>
    <w:rsid w:val="00ED2B50"/>
    <w:rsid w:val="00ED5D19"/>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02EC"/>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468"/>
    <w:rsid w:val="00F6194E"/>
    <w:rsid w:val="00F61AD5"/>
    <w:rsid w:val="00F623AC"/>
    <w:rsid w:val="00F6412A"/>
    <w:rsid w:val="00F65893"/>
    <w:rsid w:val="00F66A4A"/>
    <w:rsid w:val="00F71E22"/>
    <w:rsid w:val="00F72142"/>
    <w:rsid w:val="00F72AE7"/>
    <w:rsid w:val="00F768D6"/>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1A4A2D"/>
    <w:rsid w:val="03C978A5"/>
    <w:rsid w:val="0FAE09D7"/>
    <w:rsid w:val="14353475"/>
    <w:rsid w:val="284E6165"/>
    <w:rsid w:val="29E24F2E"/>
    <w:rsid w:val="2FD23B59"/>
    <w:rsid w:val="34E60E7F"/>
    <w:rsid w:val="471C3E9C"/>
    <w:rsid w:val="4B717C9F"/>
    <w:rsid w:val="4BC863A1"/>
    <w:rsid w:val="52AD6860"/>
    <w:rsid w:val="6AE34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autoRedefine/>
    <w:qFormat/>
    <w:uiPriority w:val="0"/>
    <w:pPr>
      <w:numPr>
        <w:ilvl w:val="0"/>
        <w:numId w:val="30"/>
      </w:numPr>
      <w:spacing w:line="300" w:lineRule="exact"/>
      <w:ind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FC3445E8239542B6AB14C94CA8B28B16"/>
        <w:style w:val=""/>
        <w:category>
          <w:name w:val="常规"/>
          <w:gallery w:val="placeholder"/>
        </w:category>
        <w:types>
          <w:type w:val="bbPlcHdr"/>
        </w:types>
        <w:behaviors>
          <w:behavior w:val="content"/>
        </w:behaviors>
        <w:description w:val=""/>
        <w:guid w:val="{351BA69F-0C44-45C6-8195-CA760A049DC8}"/>
      </w:docPartPr>
      <w:docPartBody>
        <w:p w14:paraId="2A675D7E">
          <w:pPr>
            <w:pStyle w:val="5"/>
          </w:pPr>
          <w:r>
            <w:rPr>
              <w:rStyle w:val="4"/>
              <w:rFonts w:hint="eastAsia"/>
            </w:rPr>
            <w:t>单击或点击此处输入文字。</w:t>
          </w:r>
        </w:p>
      </w:docPartBody>
    </w:docPart>
    <w:docPart>
      <w:docPartPr>
        <w:name w:val="C133B371D3214542A05BD14CAB0D43BE"/>
        <w:style w:val=""/>
        <w:category>
          <w:name w:val="常规"/>
          <w:gallery w:val="placeholder"/>
        </w:category>
        <w:types>
          <w:type w:val="bbPlcHdr"/>
        </w:types>
        <w:behaviors>
          <w:behavior w:val="content"/>
        </w:behaviors>
        <w:description w:val=""/>
        <w:guid w:val="{14D9784A-CD89-40E1-8D63-7E36612EC6F6}"/>
      </w:docPartPr>
      <w:docPartBody>
        <w:p w14:paraId="2BE84362">
          <w:pPr>
            <w:pStyle w:val="6"/>
          </w:pPr>
          <w:r>
            <w:rPr>
              <w:rStyle w:val="4"/>
              <w:rFonts w:hint="eastAsia"/>
            </w:rPr>
            <w:t>选择一项。</w:t>
          </w:r>
        </w:p>
      </w:docPartBody>
    </w:docPart>
    <w:docPart>
      <w:docPartPr>
        <w:name w:val="CE5E3C92127E48608D6DE8F83EAC37BC"/>
        <w:style w:val=""/>
        <w:category>
          <w:name w:val="常规"/>
          <w:gallery w:val="placeholder"/>
        </w:category>
        <w:types>
          <w:type w:val="bbPlcHdr"/>
        </w:types>
        <w:behaviors>
          <w:behavior w:val="content"/>
        </w:behaviors>
        <w:description w:val=""/>
        <w:guid w:val="{9EF11DB9-1591-41ED-B1C7-378A53C82419}"/>
      </w:docPartPr>
      <w:docPartBody>
        <w:p w14:paraId="6C6C5D5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A02"/>
    <w:rsid w:val="001F6686"/>
    <w:rsid w:val="00296D57"/>
    <w:rsid w:val="00371F79"/>
    <w:rsid w:val="00674C9F"/>
    <w:rsid w:val="009B72A9"/>
    <w:rsid w:val="00B44397"/>
    <w:rsid w:val="00BA54E2"/>
    <w:rsid w:val="00D42A02"/>
    <w:rsid w:val="00D56844"/>
    <w:rsid w:val="00DF6F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FC3445E8239542B6AB14C94CA8B28B1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133B371D3214542A05BD14CAB0D43B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E5E3C92127E48608D6DE8F83EAC37BC"/>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16EE8-DDAF-4D98-8D80-BDA345BA21F3}">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3481</Words>
  <Characters>4022</Characters>
  <Lines>42</Lines>
  <Paragraphs>11</Paragraphs>
  <TotalTime>2</TotalTime>
  <ScaleCrop>false</ScaleCrop>
  <LinksUpToDate>false</LinksUpToDate>
  <CharactersWithSpaces>4192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2024-01-14T08:43:00Z</dcterms:created>
  <dc:creator>Administrator</dc:creator>
  <dc:description>&lt;config cover="true" show_menu="true" version="1.0.0" doctype="SDKXY"&gt;_x000d_
&lt;/config&gt;</dc:description>
  <cp:lastModifiedBy>歪歪</cp:lastModifiedBy>
  <cp:lastPrinted>2024-08-02T09:16:00Z</cp:lastPrinted>
  <dcterms:modified xsi:type="dcterms:W3CDTF">2024-08-02T09:38:46Z</dcterms:modified>
  <dc:title>地方标准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2052-12.1.0.17133</vt:lpwstr>
  </property>
  <property fmtid="{D5CDD505-2E9C-101B-9397-08002B2CF9AE}" pid="15" name="ICV">
    <vt:lpwstr>3B73492B4F464F908125F61FE67799C7_12</vt:lpwstr>
  </property>
</Properties>
</file>